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24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spacing w:after="0" w:line="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ind w:left="4860"/>
        <w:spacing w:after="0"/>
        <w:rPr>
          <w:sz w:val="20"/>
          <w:szCs w:val="20"/>
          <w:color w:val="auto"/>
        </w:rPr>
      </w:pPr>
      <w:r>
        <w:rPr>
          <w:rFonts w:ascii="Arial" w:cs="Arial" w:eastAsia="Arial" w:hAnsi="Arial"/>
          <w:sz w:val="29"/>
          <w:szCs w:val="29"/>
          <w:b w:val="1"/>
          <w:bCs w:val="1"/>
          <w:color w:val="auto"/>
        </w:rPr>
        <w:t>FORM 11-K</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4" w:lineRule="exact"/>
        <w:rPr>
          <w:sz w:val="24"/>
          <w:szCs w:val="24"/>
          <w:color w:val="auto"/>
        </w:rPr>
      </w:pPr>
    </w:p>
    <w:p>
      <w:pPr>
        <w:ind w:left="20"/>
        <w:spacing w:after="0"/>
        <w:tabs>
          <w:tab w:leader="none" w:pos="600" w:val="left"/>
        </w:tabs>
        <w:rPr>
          <w:sz w:val="20"/>
          <w:szCs w:val="20"/>
          <w:color w:val="auto"/>
        </w:rPr>
      </w:pPr>
      <w:r>
        <w:rPr>
          <w:rFonts w:ascii="Arial" w:cs="Arial" w:eastAsia="Arial" w:hAnsi="Arial"/>
          <w:sz w:val="18"/>
          <w:szCs w:val="18"/>
          <w:b w:val="1"/>
          <w:bCs w:val="1"/>
          <w:color w:val="auto"/>
        </w:rPr>
        <w:t>( X )</w:t>
      </w:r>
      <w:r>
        <w:rPr>
          <w:sz w:val="20"/>
          <w:szCs w:val="20"/>
          <w:color w:val="auto"/>
        </w:rPr>
        <w:tab/>
      </w:r>
      <w:r>
        <w:rPr>
          <w:rFonts w:ascii="Arial" w:cs="Arial" w:eastAsia="Arial" w:hAnsi="Arial"/>
          <w:sz w:val="17"/>
          <w:szCs w:val="17"/>
          <w:b w:val="1"/>
          <w:bCs w:val="1"/>
          <w:color w:val="auto"/>
        </w:rPr>
        <w:t>ANNUAL REPORT PURSUANT TO SECTION 15(d) OF THE SECURITIES EXCHANGE ACT OF 1934</w:t>
      </w:r>
    </w:p>
    <w:p>
      <w:pPr>
        <w:spacing w:after="0" w:line="123" w:lineRule="exact"/>
        <w:rPr>
          <w:sz w:val="24"/>
          <w:szCs w:val="24"/>
          <w:color w:val="auto"/>
        </w:rPr>
      </w:pPr>
    </w:p>
    <w:p>
      <w:pPr>
        <w:jc w:val="center"/>
        <w:ind w:right="-1120"/>
        <w:spacing w:after="0"/>
        <w:rPr>
          <w:sz w:val="20"/>
          <w:szCs w:val="20"/>
          <w:color w:val="auto"/>
        </w:rPr>
      </w:pPr>
      <w:r>
        <w:rPr>
          <w:rFonts w:ascii="Arial" w:cs="Arial" w:eastAsia="Arial" w:hAnsi="Arial"/>
          <w:sz w:val="22"/>
          <w:szCs w:val="22"/>
          <w:color w:val="auto"/>
        </w:rPr>
        <w:t>For the fiscal year ended December 31, 2025</w:t>
      </w:r>
    </w:p>
    <w:p>
      <w:pPr>
        <w:spacing w:after="0" w:line="260" w:lineRule="exact"/>
        <w:rPr>
          <w:sz w:val="24"/>
          <w:szCs w:val="24"/>
          <w:color w:val="auto"/>
        </w:rPr>
      </w:pPr>
    </w:p>
    <w:p>
      <w:pPr>
        <w:ind w:left="5460"/>
        <w:spacing w:after="0"/>
        <w:rPr>
          <w:sz w:val="20"/>
          <w:szCs w:val="20"/>
          <w:color w:val="auto"/>
        </w:rPr>
      </w:pPr>
      <w:r>
        <w:rPr>
          <w:rFonts w:ascii="Arial" w:cs="Arial" w:eastAsia="Arial" w:hAnsi="Arial"/>
          <w:sz w:val="22"/>
          <w:szCs w:val="22"/>
          <w:color w:val="auto"/>
        </w:rPr>
        <w:t>OR</w:t>
      </w:r>
    </w:p>
    <w:p>
      <w:pPr>
        <w:sectPr>
          <w:pgSz w:w="11900" w:h="16838" w:orient="portrait"/>
          <w:cols w:equalWidth="0" w:num="1">
            <w:col w:w="10139"/>
          </w:cols>
          <w:pgMar w:left="320" w:top="1002" w:right="1440" w:bottom="1440" w:gutter="0" w:footer="0" w:header="0"/>
        </w:sectPr>
      </w:pPr>
    </w:p>
    <w:p>
      <w:pPr>
        <w:spacing w:after="0" w:line="13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 )</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right="1119"/>
        <w:spacing w:after="0" w:line="249" w:lineRule="auto"/>
        <w:rPr>
          <w:sz w:val="20"/>
          <w:szCs w:val="20"/>
          <w:color w:val="auto"/>
        </w:rPr>
      </w:pPr>
      <w:r>
        <w:rPr>
          <w:rFonts w:ascii="Arial" w:cs="Arial" w:eastAsia="Arial" w:hAnsi="Arial"/>
          <w:sz w:val="18"/>
          <w:szCs w:val="18"/>
          <w:b w:val="1"/>
          <w:bCs w:val="1"/>
          <w:color w:val="auto"/>
        </w:rPr>
        <w:t>TRANSITION REPORT PURSUANT TO SECTION 15(d) OF THE SECURITIES EXCHANGE ACT OF 1934</w:t>
      </w:r>
    </w:p>
    <w:p>
      <w:pPr>
        <w:spacing w:after="0" w:line="70" w:lineRule="exact"/>
        <w:rPr>
          <w:sz w:val="24"/>
          <w:szCs w:val="24"/>
          <w:color w:val="auto"/>
        </w:rPr>
      </w:pPr>
    </w:p>
    <w:p>
      <w:pPr>
        <w:sectPr>
          <w:pgSz w:w="11900" w:h="16838" w:orient="portrait"/>
          <w:cols w:equalWidth="0" w:num="2">
            <w:col w:w="380" w:space="720"/>
            <w:col w:w="9039"/>
          </w:cols>
          <w:pgMar w:left="320" w:top="1002" w:right="1440" w:bottom="1440" w:gutter="0" w:footer="0" w:header="0"/>
          <w:type w:val="continuous"/>
        </w:sectPr>
      </w:pPr>
    </w:p>
    <w:p>
      <w:pPr>
        <w:jc w:val="center"/>
        <w:ind w:right="-1100"/>
        <w:spacing w:after="0"/>
        <w:rPr>
          <w:sz w:val="20"/>
          <w:szCs w:val="20"/>
          <w:color w:val="auto"/>
        </w:rPr>
      </w:pPr>
      <w:r>
        <w:rPr>
          <w:rFonts w:ascii="Arial" w:cs="Arial" w:eastAsia="Arial" w:hAnsi="Arial"/>
          <w:sz w:val="18"/>
          <w:szCs w:val="18"/>
          <w:color w:val="auto"/>
        </w:rPr>
        <w:t>For the transition period from _________________ to ____________________</w:t>
      </w:r>
    </w:p>
    <w:p>
      <w:pPr>
        <w:spacing w:after="0" w:line="200" w:lineRule="exact"/>
        <w:rPr>
          <w:sz w:val="24"/>
          <w:szCs w:val="24"/>
          <w:color w:val="auto"/>
        </w:rPr>
      </w:pPr>
    </w:p>
    <w:p>
      <w:pPr>
        <w:spacing w:after="0" w:line="29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000-22462</w:t>
      </w:r>
    </w:p>
    <w:p>
      <w:pPr>
        <w:sectPr>
          <w:pgSz w:w="11900" w:h="16838" w:orient="portrait"/>
          <w:cols w:equalWidth="0" w:num="1">
            <w:col w:w="10139"/>
          </w:cols>
          <w:pgMar w:left="320" w:top="1002" w:right="1440" w:bottom="1440" w:gutter="0" w:footer="0" w:header="0"/>
          <w:type w:val="continuous"/>
        </w:sect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56" w:lineRule="exact"/>
        <w:rPr>
          <w:sz w:val="24"/>
          <w:szCs w:val="24"/>
          <w:color w:val="auto"/>
        </w:rPr>
      </w:pPr>
    </w:p>
    <w:p>
      <w:pPr>
        <w:ind w:left="4340"/>
        <w:spacing w:after="0"/>
        <w:rPr>
          <w:sz w:val="20"/>
          <w:szCs w:val="20"/>
          <w:color w:val="auto"/>
        </w:rPr>
      </w:pPr>
      <w:r>
        <w:rPr>
          <w:rFonts w:ascii="Arial" w:cs="Arial" w:eastAsia="Arial" w:hAnsi="Arial"/>
          <w:sz w:val="22"/>
          <w:szCs w:val="22"/>
          <w:b w:val="1"/>
          <w:bCs w:val="1"/>
          <w:color w:val="auto"/>
        </w:rPr>
        <w:t>GIBRALTAR 401(k) PLAN</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B. Name of issuer of the securities held pursuant to the plan and the address of its principal executive office:</w:t>
      </w:r>
    </w:p>
    <w:p>
      <w:pPr>
        <w:spacing w:after="0" w:line="26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GIBRALTAR INDUSTRIES, INC.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3556 Lake Shore Road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P.O. Box 2028</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Buffalo, New York 14219-0228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2"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 have duly caused this annual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GIBRALTAR 401(k) PLAN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Plan)</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Date: June 26, 2026</w:t>
      </w:r>
    </w:p>
    <w:p>
      <w:pPr>
        <w:spacing w:after="0" w:line="19" w:lineRule="exact"/>
        <w:rPr>
          <w:sz w:val="20"/>
          <w:szCs w:val="20"/>
          <w:color w:val="auto"/>
        </w:rPr>
      </w:pPr>
    </w:p>
    <w:p>
      <w:pPr>
        <w:ind w:left="1680"/>
        <w:spacing w:after="0"/>
        <w:rPr>
          <w:sz w:val="20"/>
          <w:szCs w:val="20"/>
          <w:color w:val="auto"/>
        </w:rPr>
      </w:pPr>
      <w:r>
        <w:rPr>
          <w:rFonts w:ascii="Arial" w:cs="Arial" w:eastAsia="Arial" w:hAnsi="Arial"/>
          <w:sz w:val="22"/>
          <w:szCs w:val="22"/>
          <w:u w:val="single" w:color="auto"/>
          <w:color w:val="auto"/>
        </w:rPr>
        <w:t>/s/ Jeffrey J. Watorek</w:t>
      </w:r>
    </w:p>
    <w:p>
      <w:pPr>
        <w:ind w:left="1400"/>
        <w:spacing w:after="0"/>
        <w:rPr>
          <w:sz w:val="20"/>
          <w:szCs w:val="20"/>
          <w:color w:val="auto"/>
        </w:rPr>
      </w:pPr>
      <w:r>
        <w:rPr>
          <w:rFonts w:ascii="Arial" w:cs="Arial" w:eastAsia="Arial" w:hAnsi="Arial"/>
          <w:sz w:val="18"/>
          <w:szCs w:val="18"/>
          <w:color w:val="auto"/>
        </w:rPr>
        <w:t>Jeffrey J. Watorek</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Member, Gibraltar 401(k) Retirement Plan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t>Gibraltar 401(k) Plan</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Gibraltar 401(k) Plan</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Statements and Supplemental Schedules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2" w:right="1440" w:bottom="1440" w:gutter="0" w:footer="0" w:header="0"/>
        </w:sectPr>
      </w:pPr>
    </w:p>
    <w:bookmarkStart w:id="3" w:name="page4"/>
    <w:bookmarkEnd w:id="3"/>
    <w:p>
      <w:pPr>
        <w:ind w:left="80"/>
        <w:spacing w:after="0"/>
        <w:rPr>
          <w:sz w:val="20"/>
          <w:szCs w:val="20"/>
          <w:color w:val="auto"/>
        </w:rPr>
      </w:pPr>
      <w:r>
        <w:rPr>
          <w:rFonts w:ascii="Arial" w:cs="Arial" w:eastAsia="Arial" w:hAnsi="Arial"/>
          <w:sz w:val="22"/>
          <w:szCs w:val="22"/>
          <w:b w:val="1"/>
          <w:bCs w:val="1"/>
          <w:color w:val="auto"/>
        </w:rPr>
        <w:t>Gibraltar 401(k) Plan</w:t>
      </w:r>
    </w:p>
    <w:p>
      <w:pPr>
        <w:ind w:left="80"/>
        <w:spacing w:after="0"/>
        <w:rPr>
          <w:sz w:val="20"/>
          <w:szCs w:val="20"/>
          <w:color w:val="auto"/>
        </w:rPr>
      </w:pPr>
      <w:r>
        <w:rPr>
          <w:rFonts w:ascii="Arial" w:cs="Arial" w:eastAsia="Arial" w:hAnsi="Arial"/>
          <w:sz w:val="22"/>
          <w:szCs w:val="22"/>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06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580" w:type="dxa"/>
            <w:vAlign w:val="bottom"/>
          </w:tcPr>
          <w:p>
            <w:pPr>
              <w:spacing w:after="0"/>
              <w:rPr>
                <w:sz w:val="24"/>
                <w:szCs w:val="24"/>
                <w:color w:val="auto"/>
              </w:rPr>
            </w:pPr>
          </w:p>
        </w:tc>
        <w:tc>
          <w:tcPr>
            <w:tcW w:w="2400" w:type="dxa"/>
            <w:vAlign w:val="bottom"/>
            <w:gridSpan w:val="6"/>
          </w:tcPr>
          <w:p>
            <w:pPr>
              <w:ind w:left="1620"/>
              <w:spacing w:after="0"/>
              <w:rPr>
                <w:sz w:val="20"/>
                <w:szCs w:val="20"/>
                <w:color w:val="auto"/>
              </w:rPr>
            </w:pPr>
            <w:r>
              <w:rPr>
                <w:rFonts w:ascii="Arial" w:cs="Arial" w:eastAsia="Arial" w:hAnsi="Arial"/>
                <w:sz w:val="22"/>
                <w:szCs w:val="22"/>
                <w:b w:val="1"/>
                <w:bCs w:val="1"/>
                <w:color w:val="auto"/>
                <w:w w:val="95"/>
              </w:rPr>
              <w:t>Page(s)</w:t>
            </w:r>
          </w:p>
        </w:tc>
        <w:tc>
          <w:tcPr>
            <w:tcW w:w="0" w:type="dxa"/>
            <w:vAlign w:val="bottom"/>
          </w:tcPr>
          <w:p>
            <w:pPr>
              <w:spacing w:after="0"/>
              <w:rPr>
                <w:sz w:val="1"/>
                <w:szCs w:val="1"/>
                <w:color w:val="auto"/>
              </w:rPr>
            </w:pPr>
          </w:p>
        </w:tc>
      </w:tr>
      <w:tr>
        <w:trPr>
          <w:trHeight w:val="433"/>
        </w:trPr>
        <w:tc>
          <w:tcPr>
            <w:tcW w:w="8580" w:type="dxa"/>
            <w:vAlign w:val="bottom"/>
          </w:tcPr>
          <w:p>
            <w:pPr>
              <w:spacing w:after="0"/>
              <w:rPr>
                <w:sz w:val="20"/>
                <w:szCs w:val="20"/>
                <w:color w:val="auto"/>
              </w:rPr>
            </w:pPr>
            <w:r>
              <w:rPr>
                <w:rFonts w:ascii="Arial" w:cs="Arial" w:eastAsia="Arial" w:hAnsi="Arial"/>
                <w:sz w:val="22"/>
                <w:szCs w:val="22"/>
                <w:b w:val="1"/>
                <w:bCs w:val="1"/>
                <w:color w:val="auto"/>
              </w:rPr>
              <w:t>Report of Independent Registered Public Accounting Firm - 2025</w:t>
            </w:r>
          </w:p>
        </w:tc>
        <w:tc>
          <w:tcPr>
            <w:tcW w:w="2080" w:type="dxa"/>
            <w:vAlign w:val="bottom"/>
            <w:gridSpan w:val="3"/>
          </w:tcPr>
          <w:p>
            <w:pPr>
              <w:jc w:val="center"/>
              <w:ind w:left="1852"/>
              <w:spacing w:after="0"/>
              <w:rPr>
                <w:sz w:val="20"/>
                <w:szCs w:val="20"/>
                <w:color w:val="auto"/>
              </w:rPr>
            </w:pPr>
            <w:r>
              <w:rPr>
                <w:rFonts w:ascii="Arial" w:cs="Arial" w:eastAsia="Arial" w:hAnsi="Arial"/>
                <w:sz w:val="22"/>
                <w:szCs w:val="22"/>
                <w:color w:val="0000FF"/>
                <w:w w:val="97"/>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22"/>
                <w:szCs w:val="22"/>
                <w:b w:val="1"/>
                <w:bCs w:val="1"/>
                <w:color w:val="auto"/>
              </w:rPr>
              <w:t>Report of Independent Registered Public Accounting Firm - 2024</w:t>
            </w: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vMerge w:val="continue"/>
          </w:tcPr>
          <w:p>
            <w:pPr>
              <w:spacing w:after="0"/>
              <w:rPr>
                <w:sz w:val="21"/>
                <w:szCs w:val="21"/>
                <w:color w:val="auto"/>
              </w:rPr>
            </w:pPr>
          </w:p>
        </w:tc>
        <w:tc>
          <w:tcPr>
            <w:tcW w:w="2080" w:type="dxa"/>
            <w:vAlign w:val="bottom"/>
            <w:gridSpan w:val="3"/>
          </w:tcPr>
          <w:p>
            <w:pPr>
              <w:jc w:val="center"/>
              <w:ind w:left="1852"/>
              <w:spacing w:after="0" w:line="250" w:lineRule="exact"/>
              <w:rPr>
                <w:sz w:val="20"/>
                <w:szCs w:val="20"/>
                <w:color w:val="auto"/>
              </w:rPr>
            </w:pPr>
            <w:r>
              <w:rPr>
                <w:rFonts w:ascii="Arial" w:cs="Arial" w:eastAsia="Arial" w:hAnsi="Arial"/>
                <w:sz w:val="22"/>
                <w:szCs w:val="22"/>
                <w:color w:val="0000FF"/>
                <w:w w:val="97"/>
              </w:rPr>
              <w:t>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8580" w:type="dxa"/>
            <w:vAlign w:val="bottom"/>
          </w:tcPr>
          <w:p>
            <w:pPr>
              <w:spacing w:after="0"/>
              <w:rPr>
                <w:sz w:val="20"/>
                <w:szCs w:val="20"/>
                <w:color w:val="auto"/>
              </w:rPr>
            </w:pPr>
            <w:r>
              <w:rPr>
                <w:rFonts w:ascii="Arial" w:cs="Arial" w:eastAsia="Arial" w:hAnsi="Arial"/>
                <w:sz w:val="22"/>
                <w:szCs w:val="22"/>
                <w:b w:val="1"/>
                <w:bCs w:val="1"/>
                <w:color w:val="auto"/>
              </w:rPr>
              <w:t>Financial Statements</w:t>
            </w: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120"/>
              <w:spacing w:after="0" w:line="229" w:lineRule="exact"/>
              <w:rPr>
                <w:sz w:val="20"/>
                <w:szCs w:val="20"/>
                <w:color w:val="auto"/>
              </w:rPr>
            </w:pPr>
            <w:r>
              <w:rPr>
                <w:rFonts w:ascii="Arial" w:cs="Arial" w:eastAsia="Arial" w:hAnsi="Arial"/>
                <w:sz w:val="22"/>
                <w:szCs w:val="22"/>
                <w:color w:val="auto"/>
              </w:rPr>
              <w:t>Statements of Net Assets Available for Benefits</w:t>
            </w:r>
          </w:p>
        </w:tc>
        <w:tc>
          <w:tcPr>
            <w:tcW w:w="2080" w:type="dxa"/>
            <w:vAlign w:val="bottom"/>
            <w:gridSpan w:val="3"/>
          </w:tcPr>
          <w:p>
            <w:pPr>
              <w:jc w:val="center"/>
              <w:ind w:left="1852"/>
              <w:spacing w:after="0" w:line="229" w:lineRule="exact"/>
              <w:rPr>
                <w:sz w:val="20"/>
                <w:szCs w:val="20"/>
                <w:color w:val="auto"/>
              </w:rPr>
            </w:pPr>
            <w:r>
              <w:rPr>
                <w:rFonts w:ascii="Arial" w:cs="Arial" w:eastAsia="Arial" w:hAnsi="Arial"/>
                <w:sz w:val="22"/>
                <w:szCs w:val="22"/>
                <w:color w:val="0000FF"/>
                <w:w w:val="97"/>
              </w:rPr>
              <w:t>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Pr>
          <w:p>
            <w:pPr>
              <w:ind w:left="120"/>
              <w:spacing w:after="0" w:line="250" w:lineRule="exact"/>
              <w:rPr>
                <w:sz w:val="20"/>
                <w:szCs w:val="20"/>
                <w:color w:val="auto"/>
              </w:rPr>
            </w:pPr>
            <w:r>
              <w:rPr>
                <w:rFonts w:ascii="Arial" w:cs="Arial" w:eastAsia="Arial" w:hAnsi="Arial"/>
                <w:sz w:val="22"/>
                <w:szCs w:val="22"/>
                <w:color w:val="auto"/>
              </w:rPr>
              <w:t>Statements of Changes in Net Assets Available for Benefits</w:t>
            </w:r>
          </w:p>
        </w:tc>
        <w:tc>
          <w:tcPr>
            <w:tcW w:w="2080" w:type="dxa"/>
            <w:vAlign w:val="bottom"/>
            <w:gridSpan w:val="3"/>
          </w:tcPr>
          <w:p>
            <w:pPr>
              <w:jc w:val="center"/>
              <w:ind w:left="1852"/>
              <w:spacing w:after="0" w:line="250" w:lineRule="exact"/>
              <w:rPr>
                <w:sz w:val="20"/>
                <w:szCs w:val="20"/>
                <w:color w:val="auto"/>
              </w:rPr>
            </w:pPr>
            <w:r>
              <w:rPr>
                <w:rFonts w:ascii="Arial" w:cs="Arial" w:eastAsia="Arial" w:hAnsi="Arial"/>
                <w:sz w:val="22"/>
                <w:szCs w:val="22"/>
                <w:color w:val="0000FF"/>
                <w:w w:val="97"/>
              </w:rPr>
              <w:t>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Pr>
          <w:p>
            <w:pPr>
              <w:ind w:left="120"/>
              <w:spacing w:after="0" w:line="250" w:lineRule="exact"/>
              <w:rPr>
                <w:sz w:val="20"/>
                <w:szCs w:val="20"/>
                <w:color w:val="auto"/>
              </w:rPr>
            </w:pPr>
            <w:r>
              <w:rPr>
                <w:rFonts w:ascii="Arial" w:cs="Arial" w:eastAsia="Arial" w:hAnsi="Arial"/>
                <w:sz w:val="22"/>
                <w:szCs w:val="22"/>
                <w:color w:val="auto"/>
              </w:rPr>
              <w:t>Notes to Financial Statements</w:t>
            </w:r>
          </w:p>
        </w:tc>
        <w:tc>
          <w:tcPr>
            <w:tcW w:w="2220" w:type="dxa"/>
            <w:vAlign w:val="bottom"/>
            <w:gridSpan w:val="5"/>
          </w:tcPr>
          <w:p>
            <w:pPr>
              <w:jc w:val="center"/>
              <w:ind w:left="1692"/>
              <w:spacing w:after="0" w:line="250" w:lineRule="exact"/>
              <w:rPr>
                <w:sz w:val="20"/>
                <w:szCs w:val="20"/>
                <w:color w:val="auto"/>
              </w:rPr>
            </w:pPr>
            <w:r>
              <w:rPr>
                <w:rFonts w:ascii="Arial" w:cs="Arial" w:eastAsia="Arial" w:hAnsi="Arial"/>
                <w:sz w:val="22"/>
                <w:szCs w:val="22"/>
                <w:color w:val="0000FF"/>
                <w:w w:val="95"/>
              </w:rPr>
              <w:t>5-10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8580" w:type="dxa"/>
            <w:vAlign w:val="bottom"/>
          </w:tcPr>
          <w:p>
            <w:pPr>
              <w:spacing w:after="0"/>
              <w:rPr>
                <w:sz w:val="20"/>
                <w:szCs w:val="20"/>
                <w:color w:val="auto"/>
              </w:rPr>
            </w:pPr>
            <w:r>
              <w:rPr>
                <w:rFonts w:ascii="Arial" w:cs="Arial" w:eastAsia="Arial" w:hAnsi="Arial"/>
                <w:sz w:val="22"/>
                <w:szCs w:val="22"/>
                <w:b w:val="1"/>
                <w:bCs w:val="1"/>
                <w:color w:val="auto"/>
              </w:rPr>
              <w:t>Supplemental Schedules</w:t>
            </w:r>
          </w:p>
        </w:tc>
        <w:tc>
          <w:tcPr>
            <w:tcW w:w="1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120"/>
              <w:spacing w:after="0" w:line="229" w:lineRule="exact"/>
              <w:rPr>
                <w:sz w:val="20"/>
                <w:szCs w:val="20"/>
                <w:color w:val="auto"/>
              </w:rPr>
            </w:pPr>
            <w:r>
              <w:rPr>
                <w:rFonts w:ascii="Arial" w:cs="Arial" w:eastAsia="Arial" w:hAnsi="Arial"/>
                <w:sz w:val="22"/>
                <w:szCs w:val="22"/>
                <w:color w:val="auto"/>
              </w:rPr>
              <w:t>Schedule H, Line 4i – Schedule of Assets (Held at End of Year)</w:t>
            </w:r>
          </w:p>
        </w:tc>
        <w:tc>
          <w:tcPr>
            <w:tcW w:w="196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center"/>
              <w:ind w:right="20"/>
              <w:spacing w:after="0"/>
              <w:rPr>
                <w:sz w:val="20"/>
                <w:szCs w:val="20"/>
                <w:color w:val="auto"/>
              </w:rPr>
            </w:pPr>
            <w:r>
              <w:rPr>
                <w:rFonts w:ascii="Arial" w:cs="Arial" w:eastAsia="Arial" w:hAnsi="Arial"/>
                <w:sz w:val="19"/>
                <w:szCs w:val="19"/>
                <w:color w:val="0000FF"/>
                <w:w w:val="75"/>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80" w:type="dxa"/>
            <w:vAlign w:val="bottom"/>
          </w:tcPr>
          <w:p>
            <w:pPr>
              <w:ind w:left="120"/>
              <w:spacing w:after="0" w:line="250" w:lineRule="exact"/>
              <w:rPr>
                <w:sz w:val="20"/>
                <w:szCs w:val="20"/>
                <w:color w:val="auto"/>
              </w:rPr>
            </w:pPr>
            <w:r>
              <w:rPr>
                <w:rFonts w:ascii="Arial" w:cs="Arial" w:eastAsia="Arial" w:hAnsi="Arial"/>
                <w:sz w:val="22"/>
                <w:szCs w:val="22"/>
                <w:color w:val="auto"/>
              </w:rPr>
              <w:t>Schedule H, Line 4a – Schedule of Delinquent Participant Contributions</w:t>
            </w:r>
          </w:p>
        </w:tc>
        <w:tc>
          <w:tcPr>
            <w:tcW w:w="2140" w:type="dxa"/>
            <w:vAlign w:val="bottom"/>
            <w:gridSpan w:val="4"/>
          </w:tcPr>
          <w:p>
            <w:pPr>
              <w:jc w:val="center"/>
              <w:ind w:left="1792"/>
              <w:spacing w:after="0" w:line="250" w:lineRule="exact"/>
              <w:rPr>
                <w:sz w:val="20"/>
                <w:szCs w:val="20"/>
                <w:color w:val="auto"/>
              </w:rPr>
            </w:pPr>
            <w:r>
              <w:rPr>
                <w:rFonts w:ascii="Arial" w:cs="Arial" w:eastAsia="Arial" w:hAnsi="Arial"/>
                <w:sz w:val="22"/>
                <w:szCs w:val="22"/>
                <w:color w:val="0000FF"/>
                <w:w w:val="97"/>
              </w:rPr>
              <w:t>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0000FF"/>
        </w:rPr>
        <w:t>Exhibit 23.1 - Consent of Independent Registered Public Accounting Firm - Freed Maxick, P.C.</w:t>
      </w:r>
    </w:p>
    <w:p>
      <w:pPr>
        <w:spacing w:after="0" w:line="11" w:lineRule="exact"/>
        <w:rPr>
          <w:sz w:val="20"/>
          <w:szCs w:val="20"/>
          <w:color w:val="auto"/>
        </w:rPr>
      </w:pPr>
    </w:p>
    <w:p>
      <w:pPr>
        <w:ind w:left="120" w:right="3680"/>
        <w:spacing w:after="0" w:line="230" w:lineRule="auto"/>
        <w:rPr>
          <w:sz w:val="20"/>
          <w:szCs w:val="20"/>
          <w:color w:val="auto"/>
        </w:rPr>
      </w:pPr>
      <w:r>
        <w:rPr>
          <w:rFonts w:ascii="Arial" w:cs="Arial" w:eastAsia="Arial" w:hAnsi="Arial"/>
          <w:sz w:val="22"/>
          <w:szCs w:val="22"/>
          <w:u w:val="single" w:color="auto"/>
          <w:color w:val="0000FF"/>
        </w:rPr>
        <w:t>Exhibit 23.2 – Consent of Independent Registered Public Accounting Firm -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2739390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001" w:right="579" w:bottom="1440" w:gutter="0" w:footer="0" w:header="0"/>
        </w:sectPr>
      </w:pPr>
    </w:p>
    <w:bookmarkStart w:id="4" w:name="page5"/>
    <w:bookmarkEnd w:id="4"/>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401(k) Retirement Plan Committee, Plan Participants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Plan Administrator of the Gibraltar 401(k)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statement of net assets available for benefits of the Gibraltar 401(k) Plan (the "Plan") as of December 31, 2025,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the changes in net assets available for benefits for the year ended December 31, 2025, in conformity with accounting principles generally accepted in the United States of America.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financial statements of the Gibraltar 401(k) Plan as of December 31, 2024 and for the year ended December 31, 2024 were audited by Freed Maxick, P.C. On August 1, 2025, Freed Maxick, P.C. joined with WithumSmith+Brown, P.C. Freed Maxick, P.C. expressed an unqualified opinion on those financial statements dated June 18, 2025.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As part of our audit,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supplemental information in the accompanying schedule H, line 4i – schedule of assets (held at end of year) as of December 31, 2025 and schedule H, Line 4a – schedule of delinquent participant contributions for the year ended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Withum Smith+Brown, P.C.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401(k) Retirement Plan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and Plan Administrator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Gibraltar 401(k)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statement of net assets available for benefits of the Gibraltar 401(k) Plan (the Plan) as of December 31, 2024, and the related statement of changes in net assets available for benefits for the year then ended, and the related notes (collectively referred to as the financial statements). In our opinion, the financial statements present fairly, in all material respects, the net assets available for benefits of the Plan as of December 31, 2024, and the changes in net assets available for benefits for the year then ended, in conformity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P.C.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18, 2025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19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9400"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1200" w:type="dxa"/>
            <w:vAlign w:val="bottom"/>
          </w:tcPr>
          <w:p>
            <w:pPr>
              <w:spacing w:after="0"/>
              <w:rPr>
                <w:sz w:val="19"/>
                <w:szCs w:val="19"/>
                <w:color w:val="auto"/>
              </w:rPr>
            </w:pPr>
          </w:p>
        </w:tc>
      </w:tr>
      <w:tr>
        <w:trPr>
          <w:trHeight w:val="235"/>
        </w:trPr>
        <w:tc>
          <w:tcPr>
            <w:tcW w:w="7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2024</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Shares of registered investment companies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179,297,837</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161,335,162</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collective trust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4,211,546</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Employer securities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1,902,650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2,486,444</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4,413,121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4,685,217</w:t>
            </w:r>
          </w:p>
        </w:tc>
      </w:tr>
      <w:tr>
        <w:trPr>
          <w:trHeight w:val="223"/>
        </w:trPr>
        <w:tc>
          <w:tcPr>
            <w:tcW w:w="7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189,195,648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172,718,369</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Notes receivable from participants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2,632,943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2,573,684</w:t>
            </w:r>
          </w:p>
        </w:tc>
      </w:tr>
      <w:tr>
        <w:trPr>
          <w:trHeight w:val="250"/>
        </w:trPr>
        <w:tc>
          <w:tcPr>
            <w:tcW w:w="7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191,828,591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175,292,053</w:t>
            </w:r>
          </w:p>
        </w:tc>
      </w:tr>
      <w:tr>
        <w:trPr>
          <w:trHeight w:val="20"/>
        </w:trPr>
        <w:tc>
          <w:tcPr>
            <w:tcW w:w="7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the Years Ended December 31, 2025 and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4"/>
          </w:tcPr>
          <w:p>
            <w:pPr>
              <w:jc w:val="right"/>
              <w:ind w:right="630"/>
              <w:spacing w:after="0"/>
              <w:rPr>
                <w:sz w:val="20"/>
                <w:szCs w:val="20"/>
                <w:color w:val="auto"/>
              </w:rPr>
            </w:pPr>
            <w:r>
              <w:rPr>
                <w:rFonts w:ascii="Arial" w:cs="Arial" w:eastAsia="Arial" w:hAnsi="Arial"/>
                <w:sz w:val="18"/>
                <w:szCs w:val="18"/>
                <w:color w:val="auto"/>
              </w:rPr>
              <w:t>Year Ended December 31,</w:t>
            </w:r>
          </w:p>
        </w:tc>
      </w:tr>
      <w:tr>
        <w:trPr>
          <w:trHeight w:val="235"/>
        </w:trPr>
        <w:tc>
          <w:tcPr>
            <w:tcW w:w="76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10,390,086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9,942,686</w:t>
            </w: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rollover contributions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1,833,439</w:t>
            </w: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4,937,971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4,831,045</w:t>
            </w: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appreciation in fair value of investments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20,131,592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18,314,116</w:t>
            </w:r>
          </w:p>
        </w:tc>
      </w:tr>
      <w:tr>
        <w:trPr>
          <w:trHeight w:val="229"/>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and dividends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8,482,155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4,388,908</w:t>
            </w:r>
          </w:p>
        </w:tc>
      </w:tr>
      <w:tr>
        <w:trPr>
          <w:trHeight w:val="250"/>
        </w:trPr>
        <w:tc>
          <w:tcPr>
            <w:tcW w:w="7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9"/>
        </w:trPr>
        <w:tc>
          <w:tcPr>
            <w:tcW w:w="7680" w:type="dxa"/>
            <w:vAlign w:val="bottom"/>
          </w:tcPr>
          <w:p>
            <w:pPr>
              <w:ind w:left="1420"/>
              <w:spacing w:after="0"/>
              <w:rPr>
                <w:sz w:val="20"/>
                <w:szCs w:val="20"/>
                <w:color w:val="auto"/>
              </w:rPr>
            </w:pPr>
            <w:r>
              <w:rPr>
                <w:rFonts w:ascii="Arial" w:cs="Arial" w:eastAsia="Arial" w:hAnsi="Arial"/>
                <w:sz w:val="18"/>
                <w:szCs w:val="18"/>
                <w:color w:val="auto"/>
              </w:rPr>
              <w:t>Total additions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44,806,336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39,310,194</w:t>
            </w:r>
          </w:p>
        </w:tc>
      </w:tr>
      <w:tr>
        <w:trPr>
          <w:trHeight w:val="270"/>
        </w:trPr>
        <w:tc>
          <w:tcPr>
            <w:tcW w:w="7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Deductions: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 to participants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(28,311,479)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(23,403,553)</w:t>
            </w:r>
          </w:p>
        </w:tc>
      </w:tr>
      <w:tr>
        <w:trPr>
          <w:trHeight w:val="229"/>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Refunds to the plan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44,955</w:t>
            </w:r>
          </w:p>
        </w:tc>
      </w:tr>
      <w:tr>
        <w:trPr>
          <w:trHeight w:val="250"/>
        </w:trPr>
        <w:tc>
          <w:tcPr>
            <w:tcW w:w="7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7680" w:type="dxa"/>
            <w:vAlign w:val="bottom"/>
            <w:tcBorders>
              <w:bottom w:val="single" w:sz="8" w:color="CCEEFF"/>
            </w:tcBorders>
          </w:tcPr>
          <w:p>
            <w:pPr>
              <w:ind w:left="1420"/>
              <w:spacing w:after="0"/>
              <w:rPr>
                <w:sz w:val="20"/>
                <w:szCs w:val="20"/>
                <w:color w:val="auto"/>
              </w:rPr>
            </w:pPr>
            <w:r>
              <w:rPr>
                <w:rFonts w:ascii="Arial" w:cs="Arial" w:eastAsia="Arial" w:hAnsi="Arial"/>
                <w:sz w:val="18"/>
                <w:szCs w:val="18"/>
                <w:color w:val="auto"/>
              </w:rPr>
              <w:t>Total deductions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(28,269,798)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(23,358,598)</w:t>
            </w:r>
          </w:p>
        </w:tc>
      </w:tr>
      <w:tr>
        <w:trPr>
          <w:trHeight w:val="250"/>
        </w:trPr>
        <w:tc>
          <w:tcPr>
            <w:tcW w:w="7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Net increase in net assets available for benefits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16,536,538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15,951,596</w:t>
            </w:r>
          </w:p>
        </w:tc>
      </w:tr>
      <w:tr>
        <w:trPr>
          <w:trHeight w:val="270"/>
        </w:trPr>
        <w:tc>
          <w:tcPr>
            <w:tcW w:w="7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0"/>
        </w:trPr>
        <w:tc>
          <w:tcPr>
            <w:tcW w:w="7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7680" w:type="dxa"/>
            <w:vAlign w:val="bottom"/>
            <w:tcBorders>
              <w:bottom w:val="single" w:sz="8" w:color="CCEEFF"/>
            </w:tcBorders>
          </w:tcPr>
          <w:p>
            <w:pPr>
              <w:ind w:left="1420"/>
              <w:spacing w:after="0"/>
              <w:rPr>
                <w:sz w:val="20"/>
                <w:szCs w:val="20"/>
                <w:color w:val="auto"/>
              </w:rPr>
            </w:pPr>
            <w:r>
              <w:rPr>
                <w:rFonts w:ascii="Arial" w:cs="Arial" w:eastAsia="Arial" w:hAnsi="Arial"/>
                <w:sz w:val="18"/>
                <w:szCs w:val="18"/>
                <w:color w:val="auto"/>
              </w:rPr>
              <w:t>Beginning of year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175,292,053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159,340,457</w:t>
            </w:r>
          </w:p>
        </w:tc>
      </w:tr>
      <w:tr>
        <w:trPr>
          <w:trHeight w:val="250"/>
        </w:trPr>
        <w:tc>
          <w:tcPr>
            <w:tcW w:w="7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7680" w:type="dxa"/>
            <w:vAlign w:val="bottom"/>
          </w:tcPr>
          <w:p>
            <w:pPr>
              <w:ind w:left="1420"/>
              <w:spacing w:after="0"/>
              <w:rPr>
                <w:sz w:val="20"/>
                <w:szCs w:val="20"/>
                <w:color w:val="auto"/>
              </w:rPr>
            </w:pPr>
            <w:r>
              <w:rPr>
                <w:rFonts w:ascii="Arial" w:cs="Arial" w:eastAsia="Arial" w:hAnsi="Arial"/>
                <w:sz w:val="18"/>
                <w:szCs w:val="18"/>
                <w:color w:val="auto"/>
              </w:rPr>
              <w:t>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191,828,591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175,292,053</w:t>
            </w: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37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is a brief description of the Gibraltar 401(k) Plan (the Plan) and is provided for general information purposes only. Participants should refer to the Plan Document and Summary Plan Description for more complete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Plan is a defined contribution plan as permitted under Section 401(k) of the Internal Revenue Code. The Plan is sponsored by Gibraltar Steel Corporation of New York (the Company), a subsidiary of Gibraltar Industries, Inc., for the benefit of eligible employees of the Company and its affiliates. The Company is the Plan Administrator, through the Gibraltar 401(k) Retirement Plan Committee. The Plan is subject to the Employee Retirement Income Security Act of 1974, as amended. The 401(k) Retirement Plan Committee is responsible for oversight of the Plan and determines the appropriateness of the Plan’s investment offerings, monitors investment performance and reports to the Company's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employees of the Company, those affiliates of the Company which have adopted the Gibraltar 401(k) Plan, and employees subject to a collective bargaining agreement that provides for coverage under the Plan, are eligible to participate in the Plan immediately upon hire. Upon completion of six months of service, employees are eligible to begin receiving the employer match.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Contributions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Participants may contribute up to 100% of their annual compensation, not to exceed the ceiling imposed by the Internal Revenue Service of $23,500 and $23,000 for 2025 and 2024, respectively, as prescribed by the Plan Document. If a participant is age 50 or over, the ceiling is increased to $31,000 and $30,500 for 2025 and 2024, respectively. The Plan provides an Automatic Enrollment feature for employees who do not affirmatively make an elective deferral after six months of employment to the Plan, to automatically have three percent (3%) pre-tax deferral withheld each pay period and contributed to the Plan's Qualified Default Investment Alternative (QDIA) until changed by the participant.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Plan accepts participant-directed Roth Elective Deferrals, Roth Rollovers, Roth In-Plan Conversions, Pre-Tax Deferrals and Pre-Tax Rollovers.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Rollover Contributions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2025 and 2024, the rollovers into the Plan were the result of newly hired employees rolling their balances from other qualified retirement plans. An aggregate of $ 864,532 and $1,833,439 was rolled into the Plan during the years ended December 31, 2025 and 2024, respectively, and is included in participant rollover contributions on the statements of changes in net assets available for benefits.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Employer Contribution</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matches contributions to the Plan equal to 100% of the first 3% of the participants’ elective deferrals and 50% of the following 2% of the participants’ elective deferrals at the time of salary reduction. The Company match for employees subject to a collective bargaining agreement follows the terms of their respective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06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Fidelity Management Trust Company is the Plan Trustee, record keeper, and served as the custodian of the Plan’s assets for the years ended December 31, 2025 and 2024. The Administrator of the Plan may specify whether the investments of the Trust Fund shall be managed in whole or in part by the Trustee, one or more investment managers, the Administrator, or the participants as provided for by the Trust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Although it has not expressed any intent to do so, the Company has the right to terminate, amend, or modify the Plan at any time subject to the provisions of ERISA.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Accounts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Separate accounts are maintained for each plan participant. Each participant’s account is credited with the participant’s contribution and an allocation of the Company’s contribution and Plan earnings. </w:t>
      </w:r>
      <w:r>
        <w:rPr>
          <w:rFonts w:ascii="Arial" w:cs="Arial" w:eastAsia="Arial" w:hAnsi="Arial"/>
          <w:sz w:val="18"/>
          <w:szCs w:val="18"/>
          <w:color w:val="242424"/>
        </w:rPr>
        <w:t>Participant accounts are charged with an allocation of administrative expenses</w:t>
      </w:r>
      <w:r>
        <w:rPr>
          <w:rFonts w:ascii="Arial" w:cs="Arial" w:eastAsia="Arial" w:hAnsi="Arial"/>
          <w:sz w:val="18"/>
          <w:szCs w:val="18"/>
          <w:color w:val="auto"/>
        </w:rPr>
        <w:t xml:space="preserve"> </w:t>
      </w:r>
      <w:r>
        <w:rPr>
          <w:rFonts w:ascii="Arial" w:cs="Arial" w:eastAsia="Arial" w:hAnsi="Arial"/>
          <w:sz w:val="18"/>
          <w:szCs w:val="18"/>
          <w:color w:val="242424"/>
        </w:rPr>
        <w:t xml:space="preserve">that are paid by the Plan. Allocations are based on an annual fixed fee, participant earnings, account balances, or specific participant transactions. </w:t>
      </w:r>
      <w:r>
        <w:rPr>
          <w:rFonts w:ascii="Arial" w:cs="Arial" w:eastAsia="Arial" w:hAnsi="Arial"/>
          <w:sz w:val="18"/>
          <w:szCs w:val="18"/>
          <w:color w:val="000000"/>
        </w:rPr>
        <w:t>The benefit to which a participant is entitled is the benefit that can be provided from the participant’s vested account.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and Forfeitures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Salary reduction contributions and the earnings thereon are at all times fully vested and non-forfeitable. All active participants are 100% vested in employer contributions.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 Payments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Upon retirement, termination of employment, death or disability, participants or their beneficiaries may elect to receive their account balances in a single sum or systematic installments.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may borrow against their vested account balance a minimum of $1,000 up to a maximum equal to the lesser of $ 50,000 or 50% of their vested account balance. Notes receivable shall not exceed five years, except for a maximum of ten years for the purchase of a primary residence. The notes receivable are secured by the vested balance in the participant's account and bear interest at the prime rate plus 1%. Principal and interest are required to be repaid in equal installments over the term of the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06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606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of the Plan are prepared on the accrual basis of accounting.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at the date of the financial statements and the reported amounts of additions and deductions during the reporting period. Actual results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Participants direct the investment of their contributions into various investment options offered by the Plan. Participants may change their investment allocation on a daily basis. The Plan's investments are reported at fair value. Fair value is the price that would be received to sell an asset or paid to transfer a liability in an orderly transaction between market participants at the measurement date. The Plan’s 401(k) Retirement Plan Committee determines the Plan’s valuation policies utilizing information provided by the investment advisers and custodian. See Note 3 for discussion of the fair value measurements used to value the Plan’s investments. Purchases and sales of securities are recorded on a trade-date basis. Interest income is recorded on the accrual basis. Dividends are recorded on the ex-dividend date. Net appreciation included the Plan’s gains and losses on investments bought and sold as well as held during the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Contributions from Plan participants and the matching contributions from the employer are recorded in the year in which the employee contributions are withheld from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of the costs of administration of the Plan and Trust are paid by the Company or the Participants. Brokerage commissions and similar costs of acquiring or selling securities (if any) that are incurred by the investment funds are borne by the participant. Origination fees for each loan are also borne by the participant. Investment related expenses are included in net appreciation in fair value of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Notes receivable from participants are valued at their unpaid principal balance plus any accrued but unpaid interest at December 31, 2025 and 2024. Interest income is recorded on the accrual basis. Related fees are recorded as administrative expenses and are expensed when they are incurred. Delinquent participant loans are reclassified as distributions based upon the terms of the Plan Document.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has evaluated subsequent events through the date and time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06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0606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Financial Accounting Standards Board (FASB) Accounting Standards Codification (ASC) Topic 820, “Fair Value Measurements,” defines fair value and establishes a valuation hierarchy for disclosure of the inputs to valuation used to measure fair value. This hierarchy prioritizes the inputs into three broad levels as follows: Level 1 inputs are quoted prices (unadjusted) in active markets for identical assets or liabilities that the Plan can access at the measurement date. Level 2 inputs are quoted prices to similar assets and liabilities in active markets or inputs that are observable for the asset or liability, either directly or indirectly through market corroboration, for substantially the full term of the financial instrument.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 Valuation techniques used need to maximize the use of observable inputs and minimize the use of unobservable inputs. Following is a description of the valuation techniques used for assets measured at fair value. There have been no changes in the methodologies used at December 31, 2025 and 2024.</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Shares of Registered Investment Companies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These investments are valued at the net asset value of shares held by the registered investment companies at year-end. The investments are measured at fair value using quoted prices for identical assets, which are readily available Level 1 inputs.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Common Collective Trust</w:t>
      </w:r>
    </w:p>
    <w:p>
      <w:pPr>
        <w:spacing w:after="0" w:line="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investment is comprised of fully benefit-responsive investment contracts issued by insurance companies and other financial institutions (Contracts), fixed income securities, and money market funds. Under the terms of the Contracts, the assets of the fund are invested in fixed income securities (which may include, but are not limited to, U.S. Treasury and agency bonds, corporate bonds, mortgage-backed securities, commercial mortgage-backed securities, asset backed securities, and collective investment vehicles and shares of investment companies that invest primarily in fixed income securities) and shares of money market funds. The net asset value (NAV) is used as a practical expedient to estimate fair value. This practical expedient would not be used if it is determined to be probable that the common collective trust will sell the investment for an amount different from the reported NAV. Participant transactions (purchases and sales) may occur daily.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Employer Securities</w:t>
      </w:r>
    </w:p>
    <w:p>
      <w:pPr>
        <w:spacing w:after="0" w:line="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investments consist of a unitized stock fund which consists of employer securities valued at the closing price reported on the active market on which the individual securities are traded, and a small money market fund for liquidity purposes. As a result, the value of the investment is based on Level 1 inputs.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Equivalents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These investments are primarily composed of money market funds. Money market funds are public investment vehicles valued using $1 for the net asset value and are classified within Level 1 of the valuation hierarchy.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assets carried at fair value measured on a recurring basis as of December 31,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Level 2</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Level 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Total</w:t>
            </w:r>
          </w:p>
        </w:tc>
      </w:tr>
      <w:tr>
        <w:trPr>
          <w:trHeight w:val="223"/>
        </w:trPr>
        <w:tc>
          <w:tcPr>
            <w:tcW w:w="40" w:type="dxa"/>
            <w:vAlign w:val="bottom"/>
          </w:tcPr>
          <w:p>
            <w:pPr>
              <w:spacing w:after="0"/>
              <w:rPr>
                <w:sz w:val="19"/>
                <w:szCs w:val="19"/>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registered investment companies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179,297,837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179,297,837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Common collective trust (1)</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3,582,040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securities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1,902,650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4,413,121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4,413,121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185,613,608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189,195,648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2"/>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06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carried at fair value measured on a recurring basis as of December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Level 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registered investment companies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161,335,162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161,335,162</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Common collective trust (1)</w:t>
            </w:r>
          </w:p>
        </w:tc>
        <w:tc>
          <w:tcPr>
            <w:tcW w:w="3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4,211,546</w:t>
            </w: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securities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2,486,444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2,486,444</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4,685,217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4,685,217</w:t>
            </w: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168,506,823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172,718,369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NOTE (1): In accordance with FASB ASC 820-10,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investments measured at fair value based on NAV per share as of December 31, 2025 and 2024, respectively. There are no participant redemption restrictions for these investments; the redemption notice period is applicable only to the Plan.</w:t>
      </w:r>
    </w:p>
    <w:p>
      <w:pPr>
        <w:spacing w:after="0" w:line="75" w:lineRule="exact"/>
        <w:rPr>
          <w:sz w:val="20"/>
          <w:szCs w:val="20"/>
          <w:color w:val="auto"/>
        </w:rPr>
      </w:pPr>
    </w:p>
    <w:tbl>
      <w:tblPr>
        <w:tblLayout w:type="fixed"/>
        <w:tblInd w:w="150" w:type="dxa"/>
        <w:tblCellMar>
          <w:top w:w="0" w:type="dxa"/>
          <w:left w:w="0" w:type="dxa"/>
          <w:bottom w:w="0" w:type="dxa"/>
          <w:right w:w="0" w:type="dxa"/>
        </w:tblCellMar>
      </w:tblPr>
      <w:tr>
        <w:trPr>
          <w:trHeight w:val="189"/>
        </w:trPr>
        <w:tc>
          <w:tcPr>
            <w:tcW w:w="3020" w:type="dxa"/>
            <w:vAlign w:val="bottom"/>
            <w:tcBorders>
              <w:top w:val="single" w:sz="8" w:color="auto"/>
              <w:left w:val="single" w:sz="8" w:color="auto"/>
              <w:right w:val="single" w:sz="8" w:color="auto"/>
            </w:tcBorders>
            <w:vMerge w:val="restart"/>
          </w:tcPr>
          <w:p>
            <w:pPr>
              <w:ind w:left="720"/>
              <w:spacing w:after="0"/>
              <w:rPr>
                <w:sz w:val="20"/>
                <w:szCs w:val="20"/>
                <w:color w:val="auto"/>
              </w:rPr>
            </w:pPr>
            <w:r>
              <w:rPr>
                <w:rFonts w:ascii="Arial" w:cs="Arial" w:eastAsia="Arial" w:hAnsi="Arial"/>
                <w:sz w:val="18"/>
                <w:szCs w:val="18"/>
                <w:color w:val="auto"/>
              </w:rPr>
              <w:t>December 31,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Fair Value</w:t>
            </w: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Unfunded Commitments</w:t>
            </w:r>
          </w:p>
        </w:tc>
        <w:tc>
          <w:tcPr>
            <w:tcW w:w="22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rPr>
              <w:t>Redemption Frequency (if</w:t>
            </w:r>
          </w:p>
        </w:tc>
        <w:tc>
          <w:tcPr>
            <w:tcW w:w="2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Redemption Notice Period</w:t>
            </w: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2160" w:type="dxa"/>
            <w:vAlign w:val="bottom"/>
            <w:tcBorders>
              <w:bottom w:val="single" w:sz="8" w:color="auto"/>
              <w:right w:val="single" w:sz="8" w:color="auto"/>
            </w:tcBorders>
            <w:vMerge w:val="continue"/>
          </w:tcPr>
          <w:p>
            <w:pPr>
              <w:spacing w:after="0"/>
              <w:rPr>
                <w:sz w:val="21"/>
                <w:szCs w:val="21"/>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currently eligible)</w:t>
            </w:r>
          </w:p>
        </w:tc>
        <w:tc>
          <w:tcPr>
            <w:tcW w:w="21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collective trust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3,582,040</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Daily</w:t>
            </w:r>
          </w:p>
        </w:tc>
        <w:tc>
          <w:tcPr>
            <w:tcW w:w="2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12 months</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020" w:type="dxa"/>
            <w:vAlign w:val="bottom"/>
            <w:tcBorders>
              <w:left w:val="single" w:sz="8" w:color="auto"/>
              <w:right w:val="single" w:sz="8" w:color="auto"/>
            </w:tcBorders>
            <w:vMerge w:val="restart"/>
          </w:tcPr>
          <w:p>
            <w:pPr>
              <w:ind w:left="720"/>
              <w:spacing w:after="0"/>
              <w:rPr>
                <w:sz w:val="20"/>
                <w:szCs w:val="20"/>
                <w:color w:val="auto"/>
              </w:rPr>
            </w:pPr>
            <w:r>
              <w:rPr>
                <w:rFonts w:ascii="Arial" w:cs="Arial" w:eastAsia="Arial" w:hAnsi="Arial"/>
                <w:sz w:val="18"/>
                <w:szCs w:val="18"/>
                <w:color w:val="auto"/>
              </w:rPr>
              <w:t>December 31, 2024</w:t>
            </w:r>
          </w:p>
        </w:tc>
        <w:tc>
          <w:tcPr>
            <w:tcW w:w="200" w:type="dxa"/>
            <w:vAlign w:val="bottom"/>
          </w:tcPr>
          <w:p>
            <w:pPr>
              <w:spacing w:after="0"/>
              <w:rPr>
                <w:sz w:val="14"/>
                <w:szCs w:val="14"/>
                <w:color w:val="auto"/>
              </w:rPr>
            </w:pPr>
          </w:p>
        </w:tc>
        <w:tc>
          <w:tcPr>
            <w:tcW w:w="124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Fair Value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Unfunded Commitments</w:t>
            </w:r>
          </w:p>
        </w:tc>
        <w:tc>
          <w:tcPr>
            <w:tcW w:w="22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Redemption Frequency (if</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Redemption Notice Period</w:t>
            </w: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2160" w:type="dxa"/>
            <w:vAlign w:val="bottom"/>
            <w:tcBorders>
              <w:bottom w:val="single" w:sz="8" w:color="auto"/>
              <w:right w:val="single" w:sz="8" w:color="auto"/>
            </w:tcBorders>
            <w:vMerge w:val="continue"/>
          </w:tcPr>
          <w:p>
            <w:pPr>
              <w:spacing w:after="0"/>
              <w:rPr>
                <w:sz w:val="21"/>
                <w:szCs w:val="21"/>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currently eligible)</w:t>
            </w:r>
          </w:p>
        </w:tc>
        <w:tc>
          <w:tcPr>
            <w:tcW w:w="21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collective trust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4,211,546</w:t>
            </w: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Daily</w:t>
            </w:r>
          </w:p>
        </w:tc>
        <w:tc>
          <w:tcPr>
            <w:tcW w:w="2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12 months</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TAX STATUS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adopted a non-standardized pre-approved profit-sharing plan sponsored by Fidelity. The non-standardized pre-approved plan has received an opinion letter dated June 30, 2020 form the IRS as to the non-standardized pre-approved plan's qualified status. The opinion letter has been relied upon by this Plan. The Plan Administrator believes the Plan is designed and is being operated in compliance with the applicable provisions of the IRC.</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Gibraltar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06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PARTIES IN INTEREST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2025 and 2024, certain Plan investments are managed by Fidelity Management Trust Company (Fidelity), the Plan’s trustee, and therefore these transactions qualify as party in interest transactions. The Plan also holds notes receivable representing participant loans. Additionally, the Plan allows participants to elect to invest in the common stock of Gibraltar Industries, Inc. Transactions in such investments qualify as party in interest transactions which are exempt from the prohibited transaction rules. Fidelity provides certain administrative services to the Plan pursuant to a Trust Agreement between the Company and Fidelity. Fidelity receives revenue from mutual fund service providers for services Fidelity provides to the funds. This revenue is used to offset certain amounts owed to Fidelity for its administrative services to the Plan.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participant account is subject to administrative fees. Any revenue sharing that Fidelity receives is credited to the participant's account that resulted in the revenue share, less any amounts to cover the participant's administrative fees. Fidelity remits this excess on a quarterly basis. Each participant account, the Plan, or the Company may make a payment to Fidelity for administrative expenses not covered by revenue sharing.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PROHIBITED TRANSACTION</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inadvertently failed to deposit approximately $1,035 and $2,691 of participant elective deferral contributions and loan payments for the years ended December 31, 2022 and 2021, respectively, within the required time frame as stated by United States</w:t>
      </w:r>
    </w:p>
    <w:p>
      <w:pPr>
        <w:jc w:val="both"/>
        <w:spacing w:after="0" w:line="237" w:lineRule="auto"/>
        <w:rPr>
          <w:sz w:val="20"/>
          <w:szCs w:val="20"/>
          <w:color w:val="auto"/>
        </w:rPr>
      </w:pPr>
      <w:r>
        <w:rPr>
          <w:rFonts w:ascii="Arial" w:cs="Arial" w:eastAsia="Arial" w:hAnsi="Arial"/>
          <w:sz w:val="18"/>
          <w:szCs w:val="18"/>
          <w:color w:val="auto"/>
        </w:rPr>
        <w:t>Department of Labor (DOL) regulations. The Company will correct the errors by contributing earnings related to the delinquent contributions and loan repayments and filing a Voluntary Fiduciary Correction Program (VFCP) application with the DOL.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RISKS AND UNCERTAINTIES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Plan provides for various investment options. Investment securities are exposed to various risks, such as interest,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Gibraltar 401(k) Plan</w:t>
      </w:r>
    </w:p>
    <w:p>
      <w:pPr>
        <w:ind w:left="20"/>
        <w:spacing w:after="0" w:line="211" w:lineRule="auto"/>
        <w:rPr>
          <w:sz w:val="20"/>
          <w:szCs w:val="20"/>
          <w:color w:val="auto"/>
        </w:rPr>
      </w:pPr>
      <w:r>
        <w:rPr>
          <w:rFonts w:ascii="Arial" w:cs="Arial" w:eastAsia="Arial" w:hAnsi="Arial"/>
          <w:sz w:val="16"/>
          <w:szCs w:val="16"/>
          <w:b w:val="1"/>
          <w:bCs w:val="1"/>
          <w:color w:val="auto"/>
        </w:rPr>
        <w:t>EIN 16-0991536</w:t>
      </w:r>
    </w:p>
    <w:p>
      <w:pPr>
        <w:ind w:left="20"/>
        <w:spacing w:after="0" w:line="211" w:lineRule="auto"/>
        <w:rPr>
          <w:sz w:val="20"/>
          <w:szCs w:val="20"/>
          <w:color w:val="auto"/>
        </w:rPr>
      </w:pPr>
      <w:r>
        <w:rPr>
          <w:rFonts w:ascii="Arial" w:cs="Arial" w:eastAsia="Arial" w:hAnsi="Arial"/>
          <w:sz w:val="16"/>
          <w:szCs w:val="16"/>
          <w:b w:val="1"/>
          <w:bCs w:val="1"/>
          <w:color w:val="auto"/>
        </w:rPr>
        <w:t>Plan #007</w:t>
      </w:r>
    </w:p>
    <w:p>
      <w:pPr>
        <w:ind w:left="20"/>
        <w:spacing w:after="0"/>
        <w:rPr>
          <w:sz w:val="20"/>
          <w:szCs w:val="20"/>
          <w:color w:val="auto"/>
        </w:rPr>
      </w:pPr>
      <w:r>
        <w:rPr>
          <w:rFonts w:ascii="Arial" w:cs="Arial" w:eastAsia="Arial" w:hAnsi="Arial"/>
          <w:sz w:val="16"/>
          <w:szCs w:val="16"/>
          <w:b w:val="1"/>
          <w:bCs w:val="1"/>
          <w:color w:val="auto"/>
        </w:rPr>
        <w:t>Schedule H, Line 4i – Schedule of Assets (Held at End of Year)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2025</w:t>
            </w: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(a)</w:t>
            </w:r>
          </w:p>
        </w:tc>
        <w:tc>
          <w:tcPr>
            <w:tcW w:w="5260" w:type="dxa"/>
            <w:vAlign w:val="bottom"/>
          </w:tcPr>
          <w:p>
            <w:pPr>
              <w:ind w:left="100"/>
              <w:spacing w:after="0"/>
              <w:rPr>
                <w:sz w:val="20"/>
                <w:szCs w:val="20"/>
                <w:color w:val="auto"/>
              </w:rPr>
            </w:pPr>
            <w:r>
              <w:rPr>
                <w:rFonts w:ascii="Arial" w:cs="Arial" w:eastAsia="Arial" w:hAnsi="Arial"/>
                <w:sz w:val="16"/>
                <w:szCs w:val="16"/>
                <w:b w:val="1"/>
                <w:bCs w:val="1"/>
                <w:color w:val="auto"/>
              </w:rPr>
              <w:t>(b)</w:t>
            </w:r>
          </w:p>
        </w:tc>
        <w:tc>
          <w:tcPr>
            <w:tcW w:w="4140" w:type="dxa"/>
            <w:vAlign w:val="bottom"/>
          </w:tcPr>
          <w:p>
            <w:pPr>
              <w:ind w:left="660"/>
              <w:spacing w:after="0"/>
              <w:rPr>
                <w:sz w:val="20"/>
                <w:szCs w:val="20"/>
                <w:color w:val="auto"/>
              </w:rPr>
            </w:pPr>
            <w:r>
              <w:rPr>
                <w:rFonts w:ascii="Arial" w:cs="Arial" w:eastAsia="Arial" w:hAnsi="Arial"/>
                <w:sz w:val="16"/>
                <w:szCs w:val="16"/>
                <w:b w:val="1"/>
                <w:bCs w:val="1"/>
                <w:color w:val="auto"/>
              </w:rPr>
              <w:t>(c)</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(d)</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140" w:type="dxa"/>
            <w:vAlign w:val="bottom"/>
          </w:tcPr>
          <w:p>
            <w:pPr>
              <w:ind w:left="660"/>
              <w:spacing w:after="0" w:line="163" w:lineRule="exact"/>
              <w:rPr>
                <w:sz w:val="20"/>
                <w:szCs w:val="20"/>
                <w:color w:val="auto"/>
              </w:rPr>
            </w:pPr>
            <w:r>
              <w:rPr>
                <w:rFonts w:ascii="Arial" w:cs="Arial" w:eastAsia="Arial" w:hAnsi="Arial"/>
                <w:sz w:val="16"/>
                <w:szCs w:val="16"/>
                <w:b w:val="1"/>
                <w:bCs w:val="1"/>
                <w:color w:val="auto"/>
              </w:rPr>
              <w:t>Description of Investment Including Maturity</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5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Identity of Issuer, Borrower, Lessor or Similar Party</w:t>
            </w:r>
          </w:p>
        </w:tc>
        <w:tc>
          <w:tcPr>
            <w:tcW w:w="4140" w:type="dxa"/>
            <w:vAlign w:val="bottom"/>
          </w:tcPr>
          <w:p>
            <w:pPr>
              <w:ind w:left="660"/>
              <w:spacing w:after="0" w:line="162" w:lineRule="exact"/>
              <w:rPr>
                <w:sz w:val="20"/>
                <w:szCs w:val="20"/>
                <w:color w:val="auto"/>
              </w:rPr>
            </w:pPr>
            <w:r>
              <w:rPr>
                <w:rFonts w:ascii="Arial" w:cs="Arial" w:eastAsia="Arial" w:hAnsi="Arial"/>
                <w:sz w:val="16"/>
                <w:szCs w:val="16"/>
                <w:b w:val="1"/>
                <w:bCs w:val="1"/>
                <w:color w:val="auto"/>
              </w:rPr>
              <w:t>Date, Rate of Interest, Collateral, Par, or</w:t>
            </w:r>
          </w:p>
        </w:tc>
        <w:tc>
          <w:tcPr>
            <w:tcW w:w="2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vMerge w:val="continue"/>
          </w:tcPr>
          <w:p>
            <w:pPr>
              <w:spacing w:after="0"/>
              <w:rPr>
                <w:sz w:val="18"/>
                <w:szCs w:val="18"/>
                <w:color w:val="auto"/>
              </w:rPr>
            </w:pPr>
          </w:p>
        </w:tc>
        <w:tc>
          <w:tcPr>
            <w:tcW w:w="41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Maturity Value</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500 Index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29,216,035</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Contrafund K6</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26,869,615</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2010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241,155</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Fund K 2015</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429,923</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2020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2,986,414</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Fund K 2025</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7,387,530</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2030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13,711,307</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Fund K 2035</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13,165,401</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2040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12,480,566</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Fund K 2045</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9,775,013</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2050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7,499,747</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Fund K 2055</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8,033,022</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2060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4,577,839</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Fund K 2065</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1,461,306</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Freedom Fund K 2070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263,454</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Freedom Income K</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517,569</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Global ex US Index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3,660,529</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Government Money Market Fund</w:t>
            </w:r>
          </w:p>
        </w:tc>
        <w:tc>
          <w:tcPr>
            <w:tcW w:w="4140" w:type="dxa"/>
            <w:vAlign w:val="bottom"/>
          </w:tcPr>
          <w:p>
            <w:pPr>
              <w:ind w:left="660"/>
              <w:spacing w:after="0"/>
              <w:rPr>
                <w:sz w:val="20"/>
                <w:szCs w:val="20"/>
                <w:color w:val="auto"/>
              </w:rPr>
            </w:pPr>
            <w:r>
              <w:rPr>
                <w:rFonts w:ascii="Arial" w:cs="Arial" w:eastAsia="Arial" w:hAnsi="Arial"/>
                <w:sz w:val="16"/>
                <w:szCs w:val="16"/>
                <w:color w:val="auto"/>
              </w:rPr>
              <w:t>Money Market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4,413,121</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Small Cap Index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4,648,859</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Strategic Income Fund</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935,391</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Fidelity US Bond Index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5,518,146</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Fidelity Mid Cap Index Fund</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6,737,943</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Hartford International Opportunities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4,273,034</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Wasatch Core Growth Fund Institutional Class Shares</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3,628,339</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JHancock Bond R6</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1,656,090</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Columbia Dividend Income Fund</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6,352,086</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Vanguard Small Cap Value Index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1,004,496</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Blackrock Emerging Market Fund</w:t>
            </w:r>
          </w:p>
        </w:tc>
        <w:tc>
          <w:tcPr>
            <w:tcW w:w="4140" w:type="dxa"/>
            <w:vAlign w:val="bottom"/>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1,571,546</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Cohen &amp; Steers Real Estate Securities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Mutual Fund</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695,482</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Registered Investment Companies and Cash Equivalents Total</w:t>
            </w: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183,710,958</w:t>
            </w: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Common Collective Trust:</w:t>
            </w: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Fidelity Managed Income Portfolio</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Common/Collective Trust Fund</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3,582,040</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Employer Securities:</w:t>
            </w: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Gibraltar Stock Fund</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Common Stock</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1,902,650</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6"/>
                <w:szCs w:val="16"/>
                <w:color w:val="auto"/>
              </w:rPr>
              <w:t>Notes Receivable from Participants:</w:t>
            </w: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6"/>
                <w:szCs w:val="16"/>
                <w:color w:val="auto"/>
              </w:rPr>
              <w:t>Participant Loans (Interest rates are fixed at prime plus 1% and currently range Participant loans bearing various dates and</w:t>
            </w:r>
          </w:p>
        </w:tc>
        <w:tc>
          <w:tcPr>
            <w:tcW w:w="2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2,632,943</w:t>
            </w:r>
          </w:p>
        </w:tc>
        <w:tc>
          <w:tcPr>
            <w:tcW w:w="0" w:type="dxa"/>
            <w:vAlign w:val="bottom"/>
          </w:tcPr>
          <w:p>
            <w:pPr>
              <w:spacing w:after="0"/>
              <w:rPr>
                <w:sz w:val="1"/>
                <w:szCs w:val="1"/>
                <w:color w:val="auto"/>
              </w:rPr>
            </w:pPr>
          </w:p>
        </w:tc>
      </w:tr>
      <w:tr>
        <w:trPr>
          <w:trHeight w:val="215"/>
        </w:trPr>
        <w:tc>
          <w:tcPr>
            <w:tcW w:w="300" w:type="dxa"/>
            <w:vAlign w:val="bottom"/>
            <w:vMerge w:val="continue"/>
            <w:shd w:val="clear" w:color="auto" w:fill="CCEEFF"/>
          </w:tcPr>
          <w:p>
            <w:pPr>
              <w:spacing w:after="0"/>
              <w:rPr>
                <w:sz w:val="18"/>
                <w:szCs w:val="18"/>
                <w:color w:val="auto"/>
              </w:rPr>
            </w:pPr>
          </w:p>
        </w:tc>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from 4.25% to 9.50%)</w:t>
            </w:r>
          </w:p>
        </w:tc>
        <w:tc>
          <w:tcPr>
            <w:tcW w:w="4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interest rates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191,828,591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3" w:lineRule="exact"/>
        <w:rPr>
          <w:sz w:val="20"/>
          <w:szCs w:val="20"/>
          <w:color w:val="auto"/>
        </w:rPr>
      </w:pPr>
    </w:p>
    <w:p>
      <w:pPr>
        <w:ind w:left="400" w:right="5100" w:hanging="10"/>
        <w:spacing w:after="0" w:line="221" w:lineRule="auto"/>
        <w:tabs>
          <w:tab w:leader="none" w:pos="496" w:val="left"/>
        </w:tabs>
        <w:numPr>
          <w:ilvl w:val="0"/>
          <w:numId w:val="1"/>
        </w:numPr>
        <w:rPr>
          <w:rFonts w:ascii="Arial" w:cs="Arial" w:eastAsia="Arial" w:hAnsi="Arial"/>
          <w:sz w:val="14"/>
          <w:szCs w:val="14"/>
          <w:color w:val="auto"/>
        </w:rPr>
      </w:pPr>
      <w:r>
        <w:rPr>
          <w:rFonts w:ascii="Arial" w:cs="Arial" w:eastAsia="Arial" w:hAnsi="Arial"/>
          <w:sz w:val="14"/>
          <w:szCs w:val="14"/>
          <w:color w:val="auto"/>
        </w:rPr>
        <w:t>Denotes an investment issued or managed by an entity known to be a party-in-interest to the Plan, as defined by ERISA.</w:t>
      </w:r>
    </w:p>
    <w:p>
      <w:pPr>
        <w:spacing w:after="0" w:line="1"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Column (d) cost information omitted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Gibraltar 401(k) Plan</w:t>
      </w:r>
    </w:p>
    <w:p>
      <w:pPr>
        <w:spacing w:after="0" w:line="211" w:lineRule="auto"/>
        <w:rPr>
          <w:sz w:val="20"/>
          <w:szCs w:val="20"/>
          <w:color w:val="auto"/>
        </w:rPr>
      </w:pPr>
      <w:r>
        <w:rPr>
          <w:rFonts w:ascii="Arial" w:cs="Arial" w:eastAsia="Arial" w:hAnsi="Arial"/>
          <w:sz w:val="16"/>
          <w:szCs w:val="16"/>
          <w:b w:val="1"/>
          <w:bCs w:val="1"/>
          <w:color w:val="auto"/>
        </w:rPr>
        <w:t>EIN 16-0991536</w:t>
      </w:r>
    </w:p>
    <w:p>
      <w:pPr>
        <w:spacing w:after="0" w:line="211" w:lineRule="auto"/>
        <w:rPr>
          <w:sz w:val="20"/>
          <w:szCs w:val="20"/>
          <w:color w:val="auto"/>
        </w:rPr>
      </w:pPr>
      <w:r>
        <w:rPr>
          <w:rFonts w:ascii="Arial" w:cs="Arial" w:eastAsia="Arial" w:hAnsi="Arial"/>
          <w:sz w:val="16"/>
          <w:szCs w:val="16"/>
          <w:b w:val="1"/>
          <w:bCs w:val="1"/>
          <w:color w:val="auto"/>
        </w:rPr>
        <w:t>Plan #007</w:t>
      </w:r>
    </w:p>
    <w:p>
      <w:pPr>
        <w:spacing w:after="0"/>
        <w:rPr>
          <w:sz w:val="20"/>
          <w:szCs w:val="20"/>
          <w:color w:val="auto"/>
        </w:rPr>
      </w:pPr>
      <w:r>
        <w:rPr>
          <w:rFonts w:ascii="Arial" w:cs="Arial" w:eastAsia="Arial" w:hAnsi="Arial"/>
          <w:sz w:val="16"/>
          <w:szCs w:val="16"/>
          <w:b w:val="1"/>
          <w:bCs w:val="1"/>
          <w:color w:val="auto"/>
        </w:rPr>
        <w:t>Schedule H, Line 4a – Schedule of Delinquent Participant Contributions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2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Participant Contributions</w:t>
            </w:r>
          </w:p>
        </w:tc>
        <w:tc>
          <w:tcPr>
            <w:tcW w:w="20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1960" w:type="dxa"/>
            <w:vAlign w:val="bottom"/>
            <w:tcBorders>
              <w:top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Total Fully Corrected</w:t>
            </w:r>
          </w:p>
        </w:tc>
        <w:tc>
          <w:tcPr>
            <w:tcW w:w="0" w:type="dxa"/>
            <w:vAlign w:val="bottom"/>
          </w:tcPr>
          <w:p>
            <w:pPr>
              <w:spacing w:after="0"/>
              <w:rPr>
                <w:sz w:val="1"/>
                <w:szCs w:val="1"/>
                <w:color w:val="auto"/>
              </w:rPr>
            </w:pPr>
          </w:p>
        </w:tc>
      </w:tr>
      <w:tr>
        <w:trPr>
          <w:trHeight w:val="81"/>
        </w:trPr>
        <w:tc>
          <w:tcPr>
            <w:tcW w:w="2800" w:type="dxa"/>
            <w:vAlign w:val="bottom"/>
            <w:tcBorders>
              <w:left w:val="single" w:sz="8" w:color="auto"/>
              <w:right w:val="single" w:sz="8" w:color="auto"/>
            </w:tcBorders>
            <w:vMerge w:val="continue"/>
          </w:tcPr>
          <w:p>
            <w:pPr>
              <w:spacing w:after="0"/>
              <w:rPr>
                <w:sz w:val="7"/>
                <w:szCs w:val="7"/>
                <w:color w:val="auto"/>
              </w:rPr>
            </w:pPr>
          </w:p>
        </w:tc>
        <w:tc>
          <w:tcPr>
            <w:tcW w:w="6000" w:type="dxa"/>
            <w:vAlign w:val="bottom"/>
            <w:tcBorders>
              <w:right w:val="single" w:sz="8" w:color="auto"/>
            </w:tcBorders>
            <w:gridSpan w:val="3"/>
            <w:vMerge w:val="restart"/>
          </w:tcPr>
          <w:p>
            <w:pPr>
              <w:ind w:left="600"/>
              <w:spacing w:after="0" w:line="176" w:lineRule="exact"/>
              <w:rPr>
                <w:sz w:val="20"/>
                <w:szCs w:val="20"/>
                <w:color w:val="auto"/>
              </w:rPr>
            </w:pPr>
            <w:r>
              <w:rPr>
                <w:rFonts w:ascii="Arial" w:cs="Arial" w:eastAsia="Arial" w:hAnsi="Arial"/>
                <w:sz w:val="18"/>
                <w:szCs w:val="18"/>
                <w:b w:val="1"/>
                <w:bCs w:val="1"/>
                <w:color w:val="auto"/>
              </w:rPr>
              <w:t>Total that Constitute Nonexempt Prohibited Transaction</w:t>
            </w:r>
          </w:p>
        </w:tc>
        <w:tc>
          <w:tcPr>
            <w:tcW w:w="240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9"/>
              </w:rPr>
              <w:t>Under VFCP and PTE 2002-</w:t>
            </w:r>
          </w:p>
        </w:tc>
        <w:tc>
          <w:tcPr>
            <w:tcW w:w="0" w:type="dxa"/>
            <w:vAlign w:val="bottom"/>
          </w:tcPr>
          <w:p>
            <w:pPr>
              <w:spacing w:after="0"/>
              <w:rPr>
                <w:sz w:val="1"/>
                <w:szCs w:val="1"/>
                <w:color w:val="auto"/>
              </w:rPr>
            </w:pPr>
          </w:p>
        </w:tc>
      </w:tr>
      <w:tr>
        <w:trPr>
          <w:trHeight w:val="94"/>
        </w:trPr>
        <w:tc>
          <w:tcPr>
            <w:tcW w:w="28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Transferred Late to Plan</w:t>
            </w:r>
          </w:p>
        </w:tc>
        <w:tc>
          <w:tcPr>
            <w:tcW w:w="6000" w:type="dxa"/>
            <w:vAlign w:val="bottom"/>
            <w:tcBorders>
              <w:right w:val="single" w:sz="8" w:color="auto"/>
            </w:tcBorders>
            <w:gridSpan w:val="3"/>
            <w:vMerge w:val="continue"/>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800" w:type="dxa"/>
            <w:vAlign w:val="bottom"/>
            <w:tcBorders>
              <w:left w:val="single" w:sz="8" w:color="auto"/>
              <w:right w:val="single" w:sz="8" w:color="auto"/>
            </w:tcBorders>
            <w:vMerge w:val="continue"/>
          </w:tcPr>
          <w:p>
            <w:pPr>
              <w:spacing w:after="0"/>
              <w:rPr>
                <w:sz w:val="13"/>
                <w:szCs w:val="13"/>
                <w:color w:val="auto"/>
              </w:rPr>
            </w:pPr>
          </w:p>
        </w:tc>
        <w:tc>
          <w:tcPr>
            <w:tcW w:w="2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2400" w:type="dxa"/>
            <w:vAlign w:val="bottom"/>
            <w:tcBorders>
              <w:right w:val="single" w:sz="8" w:color="auto"/>
            </w:tcBorders>
            <w:vMerge w:val="restart"/>
          </w:tcPr>
          <w:p>
            <w:pPr>
              <w:jc w:val="right"/>
              <w:ind w:right="103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91"/>
        </w:trPr>
        <w:tc>
          <w:tcPr>
            <w:tcW w:w="2800" w:type="dxa"/>
            <w:vAlign w:val="bottom"/>
            <w:tcBorders>
              <w:left w:val="single" w:sz="8" w:color="auto"/>
              <w:bottom w:val="single" w:sz="8" w:color="auto"/>
              <w:right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80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Check here if Late Participant</w:t>
            </w:r>
          </w:p>
        </w:tc>
        <w:tc>
          <w:tcPr>
            <w:tcW w:w="202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Contributions</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Contributions</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0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9"/>
              </w:rPr>
              <w:t>Loan Repayments are</w:t>
            </w:r>
          </w:p>
        </w:tc>
        <w:tc>
          <w:tcPr>
            <w:tcW w:w="20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rPr>
              <w:t>Contributions Not</w:t>
            </w:r>
          </w:p>
        </w:tc>
        <w:tc>
          <w:tcPr>
            <w:tcW w:w="202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80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rPr>
              <w:t>Corrected Outside</w:t>
            </w:r>
          </w:p>
        </w:tc>
        <w:tc>
          <w:tcPr>
            <w:tcW w:w="19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9"/>
              </w:rPr>
              <w:t>Pending Correction in</w:t>
            </w: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80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w w:val="99"/>
              </w:rPr>
              <w:t>included:</w:t>
            </w:r>
          </w:p>
        </w:tc>
        <w:tc>
          <w:tcPr>
            <w:tcW w:w="20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color w:val="auto"/>
              </w:rPr>
              <w:t>Corrected</w:t>
            </w:r>
          </w:p>
        </w:tc>
        <w:tc>
          <w:tcPr>
            <w:tcW w:w="202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80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VFCP</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VFCP</w:t>
            </w:r>
          </w:p>
        </w:tc>
        <w:tc>
          <w:tcPr>
            <w:tcW w:w="2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800" w:type="dxa"/>
            <w:vAlign w:val="bottom"/>
            <w:tcBorders>
              <w:left w:val="single" w:sz="8" w:color="auto"/>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2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continue"/>
          </w:tcPr>
          <w:p>
            <w:pPr>
              <w:spacing w:after="0"/>
              <w:rPr>
                <w:sz w:val="13"/>
                <w:szCs w:val="13"/>
                <w:color w:val="auto"/>
              </w:rPr>
            </w:pPr>
          </w:p>
        </w:tc>
        <w:tc>
          <w:tcPr>
            <w:tcW w:w="196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8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$3,726</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48"/>
        </w:trPr>
        <w:tc>
          <w:tcPr>
            <w:tcW w:w="2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20" w:type="dxa"/>
            <w:vAlign w:val="bottom"/>
          </w:tcPr>
          <w:p>
            <w:pPr>
              <w:jc w:val="right"/>
              <w:ind w:right="1070"/>
              <w:spacing w:after="0"/>
              <w:rPr>
                <w:sz w:val="20"/>
                <w:szCs w:val="20"/>
                <w:color w:val="auto"/>
              </w:rPr>
            </w:pPr>
            <w:r>
              <w:rPr>
                <w:rFonts w:ascii="Arial" w:cs="Arial" w:eastAsia="Arial" w:hAnsi="Arial"/>
                <w:sz w:val="18"/>
                <w:szCs w:val="18"/>
                <w:color w:val="auto"/>
              </w:rPr>
              <w:t>12</w:t>
            </w:r>
          </w:p>
        </w:tc>
        <w:tc>
          <w:tcPr>
            <w:tcW w:w="1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29" w:right="359" w:bottom="1440" w:gutter="0" w:footer="0" w:header="0"/>
        </w:sectPr>
      </w:pPr>
    </w:p>
    <w:bookmarkStart w:id="16" w:name="page17"/>
    <w:bookmarkEnd w:id="16"/>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 No. 33-87034 on Form S-8 of Gibraltar Industries, Inc., formerly known as Gibraltar Steel Corporation, of our report dated June 18, 2025, relating to our audit of the financial statements of the Gibraltar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401(k) Plan, which appears in this Annual Report on Form 11-K of the Gibraltar 401(k) Plan for the year ended December 31,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 33-87034 on Form S-8 of Gibraltar Industries, Inc., formerly known as Gibraltar Steel Corporation, of our report dated June 26, 2026, relating to our audit of the financial statements and supplemental</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schedules of the Gibraltar 401(k) Plan as of and for the year ended December 31, 2025, which appears in this Annual Report on Form 11-K of the Gibraltar 401(k) Plan for the year ended December 31, 2025.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2026-06-26T17:29:17Z</dcterms:created>
  <dcterms:modified xsi:type="dcterms:W3CDTF">2026-06-26T17:29:17Z</dcterms:modified>
</cp:coreProperties>
</file>