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25"/>
          <w:szCs w:val="25"/>
          <w:b w:val="1"/>
          <w:bCs w:val="1"/>
          <w:color w:val="auto"/>
        </w:rPr>
        <w:t>UNITED STATES</w:t>
      </w:r>
    </w:p>
    <w:p>
      <w:pPr>
        <w:spacing w:after="0" w:line="49" w:lineRule="exact"/>
        <w:rPr>
          <w:sz w:val="24"/>
          <w:szCs w:val="24"/>
          <w:color w:val="auto"/>
        </w:rPr>
      </w:pPr>
    </w:p>
    <w:p>
      <w:pPr>
        <w:jc w:val="center"/>
        <w:ind w:right="-59"/>
        <w:spacing w:after="0"/>
        <w:rPr>
          <w:sz w:val="20"/>
          <w:szCs w:val="20"/>
          <w:color w:val="auto"/>
        </w:rPr>
      </w:pPr>
      <w:r>
        <w:rPr>
          <w:rFonts w:ascii="Arial" w:cs="Arial" w:eastAsia="Arial" w:hAnsi="Arial"/>
          <w:sz w:val="25"/>
          <w:szCs w:val="25"/>
          <w:b w:val="1"/>
          <w:bCs w:val="1"/>
          <w:color w:val="auto"/>
        </w:rPr>
        <w:t>SECURITIES AND EXCHANGE COMMISSION</w:t>
      </w:r>
    </w:p>
    <w:p>
      <w:pPr>
        <w:spacing w:after="0" w:line="4" w:lineRule="exact"/>
        <w:rPr>
          <w:sz w:val="24"/>
          <w:szCs w:val="24"/>
          <w:color w:val="auto"/>
        </w:rPr>
      </w:pPr>
    </w:p>
    <w:p>
      <w:pPr>
        <w:jc w:val="center"/>
        <w:ind w:right="-59"/>
        <w:spacing w:after="0"/>
        <w:rPr>
          <w:sz w:val="20"/>
          <w:szCs w:val="20"/>
          <w:color w:val="auto"/>
        </w:rPr>
      </w:pPr>
      <w:r>
        <w:rPr>
          <w:rFonts w:ascii="Arial" w:cs="Arial" w:eastAsia="Arial" w:hAnsi="Arial"/>
          <w:sz w:val="20"/>
          <w:szCs w:val="20"/>
          <w:b w:val="1"/>
          <w:bCs w:val="1"/>
          <w:color w:val="auto"/>
        </w:rPr>
        <w:t>Washington, DC 20549</w:t>
      </w:r>
    </w:p>
    <w:p>
      <w:pPr>
        <w:spacing w:after="0" w:line="100" w:lineRule="exact"/>
        <w:rPr>
          <w:sz w:val="24"/>
          <w:szCs w:val="24"/>
          <w:color w:val="auto"/>
        </w:rPr>
      </w:pPr>
    </w:p>
    <w:p>
      <w:pPr>
        <w:jc w:val="center"/>
        <w:ind w:right="-59"/>
        <w:spacing w:after="0"/>
        <w:rPr>
          <w:sz w:val="20"/>
          <w:szCs w:val="20"/>
          <w:color w:val="auto"/>
        </w:rPr>
      </w:pPr>
      <w:r>
        <w:rPr>
          <w:rFonts w:ascii="Arial" w:cs="Arial" w:eastAsia="Arial" w:hAnsi="Arial"/>
          <w:sz w:val="36"/>
          <w:szCs w:val="36"/>
          <w:b w:val="1"/>
          <w:bCs w:val="1"/>
          <w:color w:val="auto"/>
        </w:rPr>
        <w:t>FORM 8-K</w:t>
      </w:r>
    </w:p>
    <w:p>
      <w:pPr>
        <w:spacing w:after="0" w:line="126" w:lineRule="exact"/>
        <w:rPr>
          <w:sz w:val="24"/>
          <w:szCs w:val="24"/>
          <w:color w:val="auto"/>
        </w:rPr>
      </w:pPr>
    </w:p>
    <w:p>
      <w:pPr>
        <w:jc w:val="center"/>
        <w:ind w:right="-59"/>
        <w:spacing w:after="0"/>
        <w:rPr>
          <w:sz w:val="20"/>
          <w:szCs w:val="20"/>
          <w:color w:val="auto"/>
        </w:rPr>
      </w:pPr>
      <w:r>
        <w:rPr>
          <w:rFonts w:ascii="Arial" w:cs="Arial" w:eastAsia="Arial" w:hAnsi="Arial"/>
          <w:sz w:val="25"/>
          <w:szCs w:val="25"/>
          <w:b w:val="1"/>
          <w:bCs w:val="1"/>
          <w:color w:val="auto"/>
        </w:rPr>
        <w:t>CURRENT REPORT</w:t>
      </w:r>
    </w:p>
    <w:p>
      <w:pPr>
        <w:spacing w:after="0" w:line="36" w:lineRule="exact"/>
        <w:rPr>
          <w:sz w:val="24"/>
          <w:szCs w:val="24"/>
          <w:color w:val="auto"/>
        </w:rPr>
      </w:pPr>
    </w:p>
    <w:p>
      <w:pPr>
        <w:jc w:val="center"/>
        <w:ind w:right="-59"/>
        <w:spacing w:after="0"/>
        <w:rPr>
          <w:sz w:val="20"/>
          <w:szCs w:val="20"/>
          <w:color w:val="auto"/>
        </w:rPr>
      </w:pPr>
      <w:r>
        <w:rPr>
          <w:rFonts w:ascii="Arial" w:cs="Arial" w:eastAsia="Arial" w:hAnsi="Arial"/>
          <w:sz w:val="25"/>
          <w:szCs w:val="25"/>
          <w:b w:val="1"/>
          <w:bCs w:val="1"/>
          <w:color w:val="auto"/>
        </w:rPr>
        <w:t>Pursuant to Section 13 or 15(d) of the Securities Exchange Act of 1934</w:t>
      </w:r>
    </w:p>
    <w:p>
      <w:pPr>
        <w:spacing w:after="0" w:line="236" w:lineRule="exact"/>
        <w:rPr>
          <w:sz w:val="24"/>
          <w:szCs w:val="24"/>
          <w:color w:val="auto"/>
        </w:rPr>
      </w:pPr>
    </w:p>
    <w:p>
      <w:pPr>
        <w:jc w:val="center"/>
        <w:ind w:right="-59"/>
        <w:spacing w:after="0"/>
        <w:rPr>
          <w:sz w:val="20"/>
          <w:szCs w:val="20"/>
          <w:color w:val="auto"/>
        </w:rPr>
      </w:pPr>
      <w:r>
        <w:rPr>
          <w:rFonts w:ascii="Arial" w:cs="Arial" w:eastAsia="Arial" w:hAnsi="Arial"/>
          <w:sz w:val="21"/>
          <w:szCs w:val="21"/>
          <w:b w:val="1"/>
          <w:bCs w:val="1"/>
          <w:color w:val="auto"/>
        </w:rPr>
        <w:t>Date of Report (Date of earliest event reported) November 5, 2026 (November 5, 2026)</w:t>
      </w:r>
    </w:p>
    <w:p>
      <w:pPr>
        <w:spacing w:after="0" w:line="114" w:lineRule="exact"/>
        <w:rPr>
          <w:sz w:val="24"/>
          <w:szCs w:val="24"/>
          <w:color w:val="auto"/>
        </w:rPr>
      </w:pPr>
    </w:p>
    <w:p>
      <w:pPr>
        <w:jc w:val="center"/>
        <w:ind w:right="-59"/>
        <w:spacing w:after="0"/>
        <w:rPr>
          <w:sz w:val="20"/>
          <w:szCs w:val="20"/>
          <w:color w:val="auto"/>
        </w:rPr>
      </w:pPr>
      <w:r>
        <w:rPr>
          <w:rFonts w:ascii="Arial" w:cs="Arial" w:eastAsia="Arial" w:hAnsi="Arial"/>
          <w:sz w:val="36"/>
          <w:szCs w:val="36"/>
          <w:b w:val="1"/>
          <w:bCs w:val="1"/>
          <w:color w:val="auto"/>
        </w:rPr>
        <w:t>GIBRALTAR INDUSTRIES, INC.</w:t>
      </w:r>
    </w:p>
    <w:p>
      <w:pPr>
        <w:spacing w:after="0" w:line="39" w:lineRule="exact"/>
        <w:rPr>
          <w:sz w:val="24"/>
          <w:szCs w:val="24"/>
          <w:color w:val="auto"/>
        </w:rPr>
      </w:pPr>
    </w:p>
    <w:p>
      <w:pPr>
        <w:jc w:val="center"/>
        <w:ind w:right="-59"/>
        <w:spacing w:after="0"/>
        <w:rPr>
          <w:sz w:val="20"/>
          <w:szCs w:val="20"/>
          <w:color w:val="auto"/>
        </w:rPr>
      </w:pPr>
      <w:r>
        <w:rPr>
          <w:rFonts w:ascii="Arial" w:cs="Arial" w:eastAsia="Arial" w:hAnsi="Arial"/>
          <w:sz w:val="20"/>
          <w:szCs w:val="20"/>
          <w:color w:val="auto"/>
        </w:rPr>
        <w:t>(Exact name of registrant as specified in its charter)</w:t>
      </w:r>
    </w:p>
    <w:p>
      <w:pPr>
        <w:sectPr>
          <w:pgSz w:w="11900" w:h="16838" w:orient="portrait"/>
          <w:cols w:equalWidth="0" w:num="1">
            <w:col w:w="11200"/>
          </w:cols>
          <w:pgMar w:left="320" w:top="1222" w:right="379" w:bottom="1440" w:gutter="0" w:footer="0" w:header="0"/>
        </w:sectPr>
      </w:pPr>
    </w:p>
    <w:p>
      <w:pPr>
        <w:spacing w:after="0" w:line="112" w:lineRule="exact"/>
        <w:rPr>
          <w:sz w:val="24"/>
          <w:szCs w:val="24"/>
          <w:color w:val="auto"/>
        </w:rPr>
      </w:pPr>
    </w:p>
    <w:p>
      <w:pPr>
        <w:ind w:left="1300"/>
        <w:spacing w:after="0"/>
        <w:rPr>
          <w:sz w:val="20"/>
          <w:szCs w:val="20"/>
          <w:color w:val="auto"/>
        </w:rPr>
      </w:pPr>
      <w:r>
        <w:rPr>
          <w:rFonts w:ascii="Arial" w:cs="Arial" w:eastAsia="Arial" w:hAnsi="Arial"/>
          <w:sz w:val="21"/>
          <w:szCs w:val="21"/>
          <w:color w:val="auto"/>
        </w:rPr>
        <w:t>Delaware</w:t>
      </w:r>
    </w:p>
    <w:p>
      <w:pPr>
        <w:spacing w:after="0" w:line="20" w:lineRule="exact"/>
        <w:rPr>
          <w:sz w:val="24"/>
          <w:szCs w:val="24"/>
          <w:color w:val="auto"/>
        </w:rPr>
      </w:pPr>
      <w:r>
        <w:rPr>
          <w:sz w:val="24"/>
          <w:szCs w:val="24"/>
          <w:color w:val="auto"/>
        </w:rPr>
        <w:br w:type="column"/>
      </w:r>
    </w:p>
    <w:p>
      <w:pPr>
        <w:spacing w:after="0" w:line="92" w:lineRule="exact"/>
        <w:rPr>
          <w:sz w:val="24"/>
          <w:szCs w:val="24"/>
          <w:color w:val="auto"/>
        </w:rPr>
      </w:pPr>
    </w:p>
    <w:p>
      <w:pPr>
        <w:jc w:val="center"/>
        <w:ind w:right="2060"/>
        <w:spacing w:after="0"/>
        <w:rPr>
          <w:sz w:val="20"/>
          <w:szCs w:val="20"/>
          <w:color w:val="auto"/>
        </w:rPr>
      </w:pPr>
      <w:r>
        <w:rPr>
          <w:rFonts w:ascii="Arial" w:cs="Arial" w:eastAsia="Arial" w:hAnsi="Arial"/>
          <w:sz w:val="21"/>
          <w:szCs w:val="21"/>
          <w:color w:val="auto"/>
        </w:rPr>
        <w:t>000-22462</w:t>
      </w:r>
    </w:p>
    <w:p>
      <w:pPr>
        <w:spacing w:after="0" w:line="20" w:lineRule="exact"/>
        <w:rPr>
          <w:sz w:val="24"/>
          <w:szCs w:val="24"/>
          <w:color w:val="auto"/>
        </w:rPr>
      </w:pPr>
      <w:r>
        <w:rPr>
          <w:sz w:val="24"/>
          <w:szCs w:val="24"/>
          <w:color w:val="auto"/>
        </w:rPr>
        <w:br w:type="column"/>
      </w:r>
    </w:p>
    <w:p>
      <w:pPr>
        <w:spacing w:after="0" w:line="92" w:lineRule="exact"/>
        <w:rPr>
          <w:sz w:val="24"/>
          <w:szCs w:val="24"/>
          <w:color w:val="auto"/>
        </w:rPr>
      </w:pPr>
    </w:p>
    <w:p>
      <w:pPr>
        <w:spacing w:after="0"/>
        <w:rPr>
          <w:sz w:val="20"/>
          <w:szCs w:val="20"/>
          <w:color w:val="auto"/>
        </w:rPr>
      </w:pPr>
      <w:r>
        <w:rPr>
          <w:rFonts w:ascii="Arial" w:cs="Arial" w:eastAsia="Arial" w:hAnsi="Arial"/>
          <w:sz w:val="21"/>
          <w:szCs w:val="21"/>
          <w:color w:val="auto"/>
        </w:rPr>
        <w:t>16-1445150</w:t>
      </w:r>
    </w:p>
    <w:p>
      <w:pPr>
        <w:spacing w:after="0" w:line="42" w:lineRule="exact"/>
        <w:rPr>
          <w:sz w:val="24"/>
          <w:szCs w:val="24"/>
          <w:color w:val="auto"/>
        </w:rPr>
      </w:pPr>
    </w:p>
    <w:p>
      <w:pPr>
        <w:sectPr>
          <w:pgSz w:w="11900" w:h="16838" w:orient="portrait"/>
          <w:cols w:equalWidth="0" w:num="3">
            <w:col w:w="4380" w:space="720"/>
            <w:col w:w="3080" w:space="720"/>
            <w:col w:w="2300"/>
          </w:cols>
          <w:pgMar w:left="320" w:top="1222" w:right="379" w:bottom="1440" w:gutter="0" w:footer="0" w:header="0"/>
          <w:type w:val="continuous"/>
        </w:sectPr>
      </w:pPr>
    </w:p>
    <w:p>
      <w:pPr>
        <w:ind w:left="520"/>
        <w:spacing w:after="0"/>
        <w:rPr>
          <w:sz w:val="20"/>
          <w:szCs w:val="20"/>
          <w:color w:val="auto"/>
        </w:rPr>
      </w:pPr>
      <w:r>
        <w:rPr>
          <w:rFonts w:ascii="Arial" w:cs="Arial" w:eastAsia="Arial" w:hAnsi="Arial"/>
          <w:sz w:val="19"/>
          <w:szCs w:val="19"/>
          <w:color w:val="auto"/>
        </w:rPr>
        <w:t>(State or other jurisdiction of</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9"/>
          <w:szCs w:val="19"/>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9"/>
          <w:szCs w:val="19"/>
          <w:color w:val="auto"/>
        </w:rPr>
        <w:t>(IRS Employer Identification No.)</w:t>
      </w:r>
    </w:p>
    <w:p>
      <w:pPr>
        <w:spacing w:after="0" w:line="7" w:lineRule="exact"/>
        <w:rPr>
          <w:sz w:val="24"/>
          <w:szCs w:val="24"/>
          <w:color w:val="auto"/>
        </w:rPr>
      </w:pPr>
    </w:p>
    <w:p>
      <w:pPr>
        <w:sectPr>
          <w:pgSz w:w="11900" w:h="16838" w:orient="portrait"/>
          <w:cols w:equalWidth="0" w:num="3">
            <w:col w:w="3720" w:space="720"/>
            <w:col w:w="2880" w:space="720"/>
            <w:col w:w="3160"/>
          </w:cols>
          <w:pgMar w:left="320" w:top="1222" w:right="379" w:bottom="1440" w:gutter="0" w:footer="0" w:header="0"/>
          <w:type w:val="continuous"/>
        </w:sectPr>
      </w:pPr>
    </w:p>
    <w:p>
      <w:pPr>
        <w:ind w:left="1140"/>
        <w:spacing w:after="0"/>
        <w:rPr>
          <w:sz w:val="20"/>
          <w:szCs w:val="20"/>
          <w:color w:val="auto"/>
        </w:rPr>
      </w:pPr>
      <w:r>
        <w:rPr>
          <w:rFonts w:ascii="Arial" w:cs="Arial" w:eastAsia="Arial" w:hAnsi="Arial"/>
          <w:sz w:val="20"/>
          <w:szCs w:val="20"/>
          <w:color w:val="auto"/>
        </w:rPr>
        <w:t>incorporation )</w:t>
      </w:r>
    </w:p>
    <w:p>
      <w:pPr>
        <w:spacing w:after="0" w:line="220" w:lineRule="exact"/>
        <w:rPr>
          <w:sz w:val="24"/>
          <w:szCs w:val="24"/>
          <w:color w:val="auto"/>
        </w:rPr>
      </w:pPr>
    </w:p>
    <w:p>
      <w:pPr>
        <w:jc w:val="center"/>
        <w:ind w:right="-59"/>
        <w:spacing w:after="0"/>
        <w:rPr>
          <w:sz w:val="20"/>
          <w:szCs w:val="20"/>
          <w:color w:val="auto"/>
        </w:rPr>
      </w:pPr>
      <w:r>
        <w:rPr>
          <w:rFonts w:ascii="Arial" w:cs="Arial" w:eastAsia="Arial" w:hAnsi="Arial"/>
          <w:sz w:val="22"/>
          <w:szCs w:val="22"/>
          <w:color w:val="auto"/>
        </w:rPr>
        <w:t>3556 Lake Shore Road</w:t>
      </w:r>
    </w:p>
    <w:p>
      <w:pPr>
        <w:spacing w:after="0" w:line="24" w:lineRule="exact"/>
        <w:rPr>
          <w:sz w:val="24"/>
          <w:szCs w:val="24"/>
          <w:color w:val="auto"/>
        </w:rPr>
      </w:pPr>
    </w:p>
    <w:p>
      <w:pPr>
        <w:jc w:val="center"/>
        <w:ind w:right="-59"/>
        <w:spacing w:after="0"/>
        <w:rPr>
          <w:sz w:val="20"/>
          <w:szCs w:val="20"/>
          <w:color w:val="auto"/>
        </w:rPr>
      </w:pPr>
      <w:r>
        <w:rPr>
          <w:rFonts w:ascii="Arial" w:cs="Arial" w:eastAsia="Arial" w:hAnsi="Arial"/>
          <w:sz w:val="22"/>
          <w:szCs w:val="22"/>
          <w:color w:val="auto"/>
        </w:rPr>
        <w:t>P.O. Box 2028</w:t>
      </w:r>
    </w:p>
    <w:p>
      <w:pPr>
        <w:jc w:val="center"/>
        <w:ind w:right="-59"/>
        <w:spacing w:after="0" w:line="236" w:lineRule="auto"/>
        <w:rPr>
          <w:sz w:val="20"/>
          <w:szCs w:val="20"/>
          <w:color w:val="auto"/>
        </w:rPr>
      </w:pPr>
      <w:r>
        <w:rPr>
          <w:rFonts w:ascii="Arial" w:cs="Arial" w:eastAsia="Arial" w:hAnsi="Arial"/>
          <w:sz w:val="22"/>
          <w:szCs w:val="22"/>
          <w:color w:val="auto"/>
        </w:rPr>
        <w:t>Buffalo, New York 14219-0228</w:t>
      </w:r>
    </w:p>
    <w:p>
      <w:pPr>
        <w:spacing w:after="0" w:line="1" w:lineRule="exact"/>
        <w:rPr>
          <w:sz w:val="24"/>
          <w:szCs w:val="24"/>
          <w:color w:val="auto"/>
        </w:rPr>
      </w:pPr>
    </w:p>
    <w:p>
      <w:pPr>
        <w:jc w:val="center"/>
        <w:ind w:right="-59"/>
        <w:spacing w:after="0"/>
        <w:rPr>
          <w:sz w:val="20"/>
          <w:szCs w:val="20"/>
          <w:color w:val="auto"/>
        </w:rPr>
      </w:pPr>
      <w:r>
        <w:rPr>
          <w:rFonts w:ascii="Arial" w:cs="Arial" w:eastAsia="Arial" w:hAnsi="Arial"/>
          <w:sz w:val="19"/>
          <w:szCs w:val="19"/>
          <w:color w:val="auto"/>
        </w:rPr>
        <w:t>(Address of principal executive offices) (Zip Code)</w:t>
      </w:r>
    </w:p>
    <w:p>
      <w:pPr>
        <w:sectPr>
          <w:pgSz w:w="11900" w:h="16838" w:orient="portrait"/>
          <w:cols w:equalWidth="0" w:num="1">
            <w:col w:w="11200"/>
          </w:cols>
          <w:pgMar w:left="320" w:top="1222" w:right="379" w:bottom="1440" w:gutter="0" w:footer="0" w:header="0"/>
          <w:type w:val="continuous"/>
        </w:sectPr>
      </w:pPr>
    </w:p>
    <w:p>
      <w:pPr>
        <w:spacing w:after="0" w:line="245"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(716) 826-6500</w:t>
      </w:r>
    </w:p>
    <w:p>
      <w:pPr>
        <w:spacing w:after="0" w:line="13" w:lineRule="exact"/>
        <w:rPr>
          <w:sz w:val="24"/>
          <w:szCs w:val="24"/>
          <w:color w:val="auto"/>
        </w:rPr>
      </w:pPr>
    </w:p>
    <w:p>
      <w:pPr>
        <w:jc w:val="center"/>
        <w:ind w:right="-39"/>
        <w:spacing w:after="0"/>
        <w:rPr>
          <w:sz w:val="20"/>
          <w:szCs w:val="20"/>
          <w:color w:val="auto"/>
        </w:rPr>
      </w:pPr>
      <w:r>
        <w:rPr>
          <w:rFonts w:ascii="Arial" w:cs="Arial" w:eastAsia="Arial" w:hAnsi="Arial"/>
          <w:sz w:val="20"/>
          <w:szCs w:val="20"/>
          <w:color w:val="auto"/>
        </w:rPr>
        <w:t>(Registrant’s telephone number, including area code)</w:t>
      </w:r>
    </w:p>
    <w:p>
      <w:pPr>
        <w:spacing w:after="0" w:line="117" w:lineRule="exact"/>
        <w:rPr>
          <w:sz w:val="24"/>
          <w:szCs w:val="24"/>
          <w:color w:val="auto"/>
        </w:rPr>
      </w:pPr>
    </w:p>
    <w:p>
      <w:pPr>
        <w:ind w:right="140"/>
        <w:spacing w:after="0" w:line="286" w:lineRule="auto"/>
        <w:rPr>
          <w:sz w:val="20"/>
          <w:szCs w:val="20"/>
          <w:color w:val="auto"/>
        </w:rPr>
      </w:pPr>
      <w:r>
        <w:rPr>
          <w:rFonts w:ascii="Arial" w:cs="Arial" w:eastAsia="Arial" w:hAnsi="Arial"/>
          <w:sz w:val="20"/>
          <w:szCs w:val="20"/>
          <w:color w:val="auto"/>
        </w:rPr>
        <w:t>Check the appropriate box below if the Form 8-K filing is intended to simultaneously satisfy the filing obligation of the registrant under any of the following provisions:</w:t>
      </w:r>
    </w:p>
    <w:p>
      <w:pPr>
        <w:spacing w:after="0" w:line="59"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20"/>
          <w:szCs w:val="20"/>
          <w:color w:val="auto"/>
        </w:rPr>
      </w:pPr>
      <w:r>
        <w:rPr>
          <w:rFonts w:ascii="Arial" w:cs="Arial" w:eastAsia="Arial" w:hAnsi="Arial"/>
          <w:sz w:val="20"/>
          <w:szCs w:val="20"/>
          <w:color w:val="auto"/>
        </w:rPr>
        <w:t>Written communications pursuant to Rule 425 under the Securities Act (17 CFR 230.425)</w:t>
      </w:r>
    </w:p>
    <w:p>
      <w:pPr>
        <w:spacing w:after="0" w:line="134" w:lineRule="exact"/>
        <w:rPr>
          <w:rFonts w:ascii="MS PGothic" w:cs="MS PGothic" w:eastAsia="MS PGothic" w:hAnsi="MS PGothic"/>
          <w:sz w:val="20"/>
          <w:szCs w:val="20"/>
          <w:color w:val="auto"/>
        </w:rPr>
      </w:pPr>
    </w:p>
    <w:p>
      <w:pPr>
        <w:ind w:left="460" w:hanging="452"/>
        <w:spacing w:after="0"/>
        <w:tabs>
          <w:tab w:leader="none" w:pos="460" w:val="left"/>
        </w:tabs>
        <w:numPr>
          <w:ilvl w:val="0"/>
          <w:numId w:val="1"/>
        </w:numPr>
        <w:rPr>
          <w:rFonts w:ascii="MS PGothic" w:cs="MS PGothic" w:eastAsia="MS PGothic" w:hAnsi="MS PGothic"/>
          <w:sz w:val="20"/>
          <w:szCs w:val="20"/>
          <w:color w:val="auto"/>
        </w:rPr>
      </w:pPr>
      <w:r>
        <w:rPr>
          <w:rFonts w:ascii="Arial" w:cs="Arial" w:eastAsia="Arial" w:hAnsi="Arial"/>
          <w:sz w:val="20"/>
          <w:szCs w:val="20"/>
          <w:color w:val="auto"/>
        </w:rPr>
        <w:t>Soliciting material pursuant to Rule 14a-12 under the Exchange Act (17 CFR 240.14a-12)</w:t>
      </w:r>
    </w:p>
    <w:p>
      <w:pPr>
        <w:spacing w:after="0" w:line="134" w:lineRule="exact"/>
        <w:rPr>
          <w:rFonts w:ascii="MS PGothic" w:cs="MS PGothic" w:eastAsia="MS PGothic" w:hAnsi="MS PGothic"/>
          <w:sz w:val="20"/>
          <w:szCs w:val="20"/>
          <w:color w:val="auto"/>
        </w:rPr>
      </w:pPr>
    </w:p>
    <w:p>
      <w:pPr>
        <w:ind w:left="460" w:hanging="452"/>
        <w:spacing w:after="0"/>
        <w:tabs>
          <w:tab w:leader="none" w:pos="460" w:val="left"/>
        </w:tabs>
        <w:numPr>
          <w:ilvl w:val="0"/>
          <w:numId w:val="1"/>
        </w:numPr>
        <w:rPr>
          <w:rFonts w:ascii="MS PGothic" w:cs="MS PGothic" w:eastAsia="MS PGothic" w:hAnsi="MS PGothic"/>
          <w:sz w:val="20"/>
          <w:szCs w:val="20"/>
          <w:color w:val="auto"/>
        </w:rPr>
      </w:pPr>
      <w:r>
        <w:rPr>
          <w:rFonts w:ascii="Arial" w:cs="Arial" w:eastAsia="Arial" w:hAnsi="Arial"/>
          <w:sz w:val="20"/>
          <w:szCs w:val="20"/>
          <w:color w:val="auto"/>
        </w:rPr>
        <w:t>Pre-commencement communications pursuant to Rule 14d-2(b) under the Exchange Act (17 CFR 240.14d-2(b))</w:t>
      </w:r>
    </w:p>
    <w:p>
      <w:pPr>
        <w:spacing w:after="0" w:line="121" w:lineRule="exact"/>
        <w:rPr>
          <w:rFonts w:ascii="MS PGothic" w:cs="MS PGothic" w:eastAsia="MS PGothic" w:hAnsi="MS PGothic"/>
          <w:sz w:val="20"/>
          <w:szCs w:val="20"/>
          <w:color w:val="auto"/>
        </w:rPr>
      </w:pPr>
    </w:p>
    <w:p>
      <w:pPr>
        <w:ind w:right="960" w:firstLine="8"/>
        <w:spacing w:after="0" w:line="372" w:lineRule="auto"/>
        <w:tabs>
          <w:tab w:leader="none" w:pos="450" w:val="left"/>
        </w:tabs>
        <w:numPr>
          <w:ilvl w:val="0"/>
          <w:numId w:val="1"/>
        </w:numPr>
        <w:rPr>
          <w:rFonts w:ascii="MS PGothic" w:cs="MS PGothic" w:eastAsia="MS PGothic" w:hAnsi="MS PGothic"/>
          <w:sz w:val="20"/>
          <w:szCs w:val="20"/>
          <w:color w:val="auto"/>
        </w:rPr>
      </w:pPr>
      <w:r>
        <w:rPr>
          <w:rFonts w:ascii="Arial" w:cs="Arial" w:eastAsia="Arial" w:hAnsi="Arial"/>
          <w:sz w:val="20"/>
          <w:szCs w:val="20"/>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67"/>
        </w:trPr>
        <w:tc>
          <w:tcPr>
            <w:tcW w:w="3580" w:type="dxa"/>
            <w:vAlign w:val="bottom"/>
            <w:tcBorders>
              <w:bottom w:val="single" w:sz="8" w:color="auto"/>
            </w:tcBorders>
          </w:tcPr>
          <w:p>
            <w:pPr>
              <w:jc w:val="center"/>
              <w:spacing w:after="0"/>
              <w:rPr>
                <w:sz w:val="20"/>
                <w:szCs w:val="20"/>
                <w:color w:val="auto"/>
              </w:rPr>
            </w:pPr>
            <w:r>
              <w:rPr>
                <w:rFonts w:ascii="Arial" w:cs="Arial" w:eastAsia="Arial" w:hAnsi="Arial"/>
                <w:sz w:val="20"/>
                <w:szCs w:val="20"/>
                <w:b w:val="1"/>
                <w:bCs w:val="1"/>
                <w:color w:val="auto"/>
                <w:w w:val="98"/>
              </w:rPr>
              <w:t>Title of each class</w:t>
            </w:r>
          </w:p>
        </w:tc>
        <w:tc>
          <w:tcPr>
            <w:tcW w:w="100" w:type="dxa"/>
            <w:vAlign w:val="bottom"/>
          </w:tcPr>
          <w:p>
            <w:pPr>
              <w:spacing w:after="0"/>
              <w:rPr>
                <w:sz w:val="23"/>
                <w:szCs w:val="23"/>
                <w:color w:val="auto"/>
              </w:rPr>
            </w:pP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20"/>
                <w:szCs w:val="20"/>
                <w:b w:val="1"/>
                <w:bCs w:val="1"/>
                <w:color w:val="auto"/>
                <w:w w:val="97"/>
              </w:rPr>
              <w:t>Trading Symbol</w:t>
            </w:r>
          </w:p>
        </w:tc>
        <w:tc>
          <w:tcPr>
            <w:tcW w:w="100" w:type="dxa"/>
            <w:vAlign w:val="bottom"/>
          </w:tcPr>
          <w:p>
            <w:pPr>
              <w:spacing w:after="0"/>
              <w:rPr>
                <w:sz w:val="23"/>
                <w:szCs w:val="23"/>
                <w:color w:val="auto"/>
              </w:rPr>
            </w:pPr>
          </w:p>
        </w:tc>
        <w:tc>
          <w:tcPr>
            <w:tcW w:w="5260" w:type="dxa"/>
            <w:vAlign w:val="bottom"/>
            <w:tcBorders>
              <w:bottom w:val="single" w:sz="8" w:color="auto"/>
            </w:tcBorders>
          </w:tcPr>
          <w:p>
            <w:pPr>
              <w:jc w:val="center"/>
              <w:spacing w:after="0"/>
              <w:rPr>
                <w:sz w:val="20"/>
                <w:szCs w:val="20"/>
                <w:color w:val="auto"/>
              </w:rPr>
            </w:pPr>
            <w:r>
              <w:rPr>
                <w:rFonts w:ascii="Arial" w:cs="Arial" w:eastAsia="Arial" w:hAnsi="Arial"/>
                <w:sz w:val="20"/>
                <w:szCs w:val="20"/>
                <w:b w:val="1"/>
                <w:bCs w:val="1"/>
                <w:color w:val="auto"/>
                <w:w w:val="98"/>
              </w:rPr>
              <w:t>Name of each exchange on which registered</w:t>
            </w:r>
          </w:p>
        </w:tc>
        <w:tc>
          <w:tcPr>
            <w:tcW w:w="0" w:type="dxa"/>
            <w:vAlign w:val="bottom"/>
          </w:tcPr>
          <w:p>
            <w:pPr>
              <w:spacing w:after="0"/>
              <w:rPr>
                <w:sz w:val="1"/>
                <w:szCs w:val="1"/>
                <w:color w:val="auto"/>
              </w:rPr>
            </w:pPr>
          </w:p>
        </w:tc>
      </w:tr>
      <w:tr>
        <w:trPr>
          <w:trHeight w:val="186"/>
        </w:trPr>
        <w:tc>
          <w:tcPr>
            <w:tcW w:w="3580" w:type="dxa"/>
            <w:vAlign w:val="bottom"/>
          </w:tcPr>
          <w:p>
            <w:pPr>
              <w:jc w:val="center"/>
              <w:spacing w:after="0" w:line="185" w:lineRule="exact"/>
              <w:rPr>
                <w:sz w:val="20"/>
                <w:szCs w:val="20"/>
                <w:color w:val="auto"/>
              </w:rPr>
            </w:pPr>
            <w:r>
              <w:rPr>
                <w:rFonts w:ascii="Arial" w:cs="Arial" w:eastAsia="Arial" w:hAnsi="Arial"/>
                <w:sz w:val="20"/>
                <w:szCs w:val="20"/>
                <w:b w:val="1"/>
                <w:bCs w:val="1"/>
                <w:color w:val="auto"/>
                <w:w w:val="98"/>
              </w:rPr>
              <w:t>Common Stock, $0.01 par value per</w:t>
            </w:r>
          </w:p>
        </w:tc>
        <w:tc>
          <w:tcPr>
            <w:tcW w:w="100" w:type="dxa"/>
            <w:vAlign w:val="bottom"/>
          </w:tcPr>
          <w:p>
            <w:pPr>
              <w:spacing w:after="0"/>
              <w:rPr>
                <w:sz w:val="16"/>
                <w:szCs w:val="16"/>
                <w:color w:val="auto"/>
              </w:rPr>
            </w:pPr>
          </w:p>
        </w:tc>
        <w:tc>
          <w:tcPr>
            <w:tcW w:w="2260" w:type="dxa"/>
            <w:vAlign w:val="bottom"/>
            <w:gridSpan w:val="2"/>
            <w:vMerge w:val="restart"/>
          </w:tcPr>
          <w:p>
            <w:pPr>
              <w:jc w:val="center"/>
              <w:ind w:right="100"/>
              <w:spacing w:after="0"/>
              <w:rPr>
                <w:sz w:val="20"/>
                <w:szCs w:val="20"/>
                <w:color w:val="auto"/>
              </w:rPr>
            </w:pPr>
            <w:r>
              <w:rPr>
                <w:rFonts w:ascii="Arial" w:cs="Arial" w:eastAsia="Arial" w:hAnsi="Arial"/>
                <w:sz w:val="20"/>
                <w:szCs w:val="20"/>
                <w:b w:val="1"/>
                <w:bCs w:val="1"/>
                <w:color w:val="auto"/>
              </w:rPr>
              <w:t>ROCK</w:t>
            </w:r>
          </w:p>
        </w:tc>
        <w:tc>
          <w:tcPr>
            <w:tcW w:w="5260" w:type="dxa"/>
            <w:vAlign w:val="bottom"/>
            <w:vMerge w:val="restart"/>
          </w:tcPr>
          <w:p>
            <w:pPr>
              <w:jc w:val="center"/>
              <w:spacing w:after="0"/>
              <w:rPr>
                <w:sz w:val="20"/>
                <w:szCs w:val="20"/>
                <w:color w:val="auto"/>
              </w:rPr>
            </w:pPr>
            <w:r>
              <w:rPr>
                <w:rFonts w:ascii="Arial" w:cs="Arial" w:eastAsia="Arial" w:hAnsi="Arial"/>
                <w:sz w:val="20"/>
                <w:szCs w:val="20"/>
                <w:b w:val="1"/>
                <w:bCs w:val="1"/>
                <w:color w:val="auto"/>
                <w:w w:val="98"/>
              </w:rPr>
              <w:t>The NASDAQ Stock Market LLC</w:t>
            </w:r>
          </w:p>
        </w:tc>
        <w:tc>
          <w:tcPr>
            <w:tcW w:w="0" w:type="dxa"/>
            <w:vAlign w:val="bottom"/>
          </w:tcPr>
          <w:p>
            <w:pPr>
              <w:spacing w:after="0"/>
              <w:rPr>
                <w:sz w:val="1"/>
                <w:szCs w:val="1"/>
                <w:color w:val="auto"/>
              </w:rPr>
            </w:pPr>
          </w:p>
        </w:tc>
      </w:tr>
      <w:tr>
        <w:trPr>
          <w:trHeight w:val="273"/>
        </w:trPr>
        <w:tc>
          <w:tcPr>
            <w:tcW w:w="3680" w:type="dxa"/>
            <w:vAlign w:val="bottom"/>
            <w:gridSpan w:val="2"/>
          </w:tcPr>
          <w:p>
            <w:pPr>
              <w:jc w:val="center"/>
              <w:ind w:right="100"/>
              <w:spacing w:after="0"/>
              <w:rPr>
                <w:sz w:val="20"/>
                <w:szCs w:val="20"/>
                <w:color w:val="auto"/>
              </w:rPr>
            </w:pPr>
            <w:r>
              <w:rPr>
                <w:rFonts w:ascii="Arial" w:cs="Arial" w:eastAsia="Arial" w:hAnsi="Arial"/>
                <w:sz w:val="20"/>
                <w:szCs w:val="20"/>
                <w:b w:val="1"/>
                <w:bCs w:val="1"/>
                <w:color w:val="auto"/>
              </w:rPr>
              <w:t>share</w:t>
            </w:r>
          </w:p>
        </w:tc>
        <w:tc>
          <w:tcPr>
            <w:tcW w:w="2260" w:type="dxa"/>
            <w:vAlign w:val="bottom"/>
            <w:gridSpan w:val="2"/>
            <w:vMerge w:val="continue"/>
          </w:tcPr>
          <w:p>
            <w:pPr>
              <w:spacing w:after="0"/>
              <w:rPr>
                <w:sz w:val="23"/>
                <w:szCs w:val="23"/>
                <w:color w:val="auto"/>
              </w:rPr>
            </w:pPr>
          </w:p>
        </w:tc>
        <w:tc>
          <w:tcPr>
            <w:tcW w:w="526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bl>
    <w:p>
      <w:pPr>
        <w:spacing w:after="0" w:line="161" w:lineRule="exact"/>
        <w:rPr>
          <w:sz w:val="24"/>
          <w:szCs w:val="24"/>
          <w:color w:val="auto"/>
        </w:rPr>
      </w:pPr>
    </w:p>
    <w:p>
      <w:pPr>
        <w:ind w:right="280"/>
        <w:spacing w:after="0" w:line="271" w:lineRule="auto"/>
        <w:rPr>
          <w:sz w:val="20"/>
          <w:szCs w:val="20"/>
          <w:color w:val="auto"/>
        </w:rPr>
      </w:pPr>
      <w:r>
        <w:rPr>
          <w:rFonts w:ascii="Arial" w:cs="Arial" w:eastAsia="Arial" w:hAnsi="Arial"/>
          <w:sz w:val="20"/>
          <w:szCs w:val="20"/>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spacing w:after="0" w:line="230" w:lineRule="exact"/>
        <w:rPr>
          <w:sz w:val="20"/>
          <w:szCs w:val="20"/>
          <w:color w:val="auto"/>
        </w:rPr>
      </w:pPr>
      <w:r>
        <w:rPr>
          <w:rFonts w:ascii="Arial" w:cs="Arial" w:eastAsia="Arial" w:hAnsi="Arial"/>
          <w:sz w:val="20"/>
          <w:szCs w:val="20"/>
          <w:color w:val="auto"/>
        </w:rPr>
        <w:t xml:space="preserve">Emerging growth company </w:t>
      </w:r>
      <w:r>
        <w:rPr>
          <w:rFonts w:ascii="MS PGothic" w:cs="MS PGothic" w:eastAsia="MS PGothic" w:hAnsi="MS PGothic"/>
          <w:sz w:val="20"/>
          <w:szCs w:val="20"/>
          <w:color w:val="auto"/>
        </w:rPr>
        <w:t>☐</w:t>
      </w:r>
    </w:p>
    <w:p>
      <w:pPr>
        <w:spacing w:after="0" w:line="141" w:lineRule="exact"/>
        <w:rPr>
          <w:sz w:val="24"/>
          <w:szCs w:val="24"/>
          <w:color w:val="auto"/>
        </w:rPr>
      </w:pPr>
    </w:p>
    <w:p>
      <w:pPr>
        <w:ind w:right="20"/>
        <w:spacing w:after="0" w:line="265" w:lineRule="exact"/>
        <w:rPr>
          <w:sz w:val="20"/>
          <w:szCs w:val="20"/>
          <w:color w:val="auto"/>
        </w:rPr>
      </w:pPr>
      <w:r>
        <w:rPr>
          <w:rFonts w:ascii="Arial" w:cs="Arial" w:eastAsia="Arial" w:hAnsi="Arial"/>
          <w:sz w:val="19"/>
          <w:szCs w:val="19"/>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9"/>
          <w:szCs w:val="19"/>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882015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106045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22" w:right="37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information is furnished pursuant to Item 2.02:</w:t>
      </w:r>
    </w:p>
    <w:p>
      <w:pPr>
        <w:spacing w:after="0" w:line="11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 xml:space="preserve">On November 5, 2026, Gibraltar Industries, Inc. (the “Company”) issued a news release and will hold a conference call regarding financial results for the three and nine months ended September 30, 2026. A copy of the news release (the “Release”) is furnished herewith as </w:t>
      </w:r>
      <w:r>
        <w:rPr>
          <w:rFonts w:ascii="Arial" w:cs="Arial" w:eastAsia="Arial" w:hAnsi="Arial"/>
          <w:sz w:val="18"/>
          <w:szCs w:val="18"/>
          <w:u w:val="single" w:color="auto"/>
          <w:color w:val="0000FF"/>
        </w:rPr>
        <w:t>Exhibit 99.1</w:t>
      </w:r>
      <w:r>
        <w:rPr>
          <w:rFonts w:ascii="Arial" w:cs="Arial" w:eastAsia="Arial" w:hAnsi="Arial"/>
          <w:sz w:val="18"/>
          <w:szCs w:val="18"/>
          <w:color w:val="0000FF"/>
        </w:rPr>
        <w:t xml:space="preserve"> </w:t>
      </w:r>
      <w:r>
        <w:rPr>
          <w:rFonts w:ascii="Arial" w:cs="Arial" w:eastAsia="Arial" w:hAnsi="Arial"/>
          <w:sz w:val="18"/>
          <w:szCs w:val="18"/>
          <w:color w:val="000000"/>
        </w:rPr>
        <w:t>and is incorporated herein by reference.</w:t>
      </w:r>
    </w:p>
    <w:p>
      <w:pPr>
        <w:spacing w:after="0" w:line="7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information in this Form 8-K under the caption Item 2.02, including the Release, shall not be deemed “filed” for purposes of Section 18 of the Securities Exchange Act of 1934, as amended (the “Exchange Act”) or otherwise subject to liabilities under that Section and shall not be deemed to be incorporated by reference into any filing of the Company under the Securities Act of 1933, as amended (the “Securities Act”) or the Exchange Act, unless the Company specifically incorporates it by reference in a document filed under the Securities Act or the Exchange Act.</w:t>
      </w:r>
    </w:p>
    <w:p>
      <w:pPr>
        <w:spacing w:after="0" w:line="200" w:lineRule="exact"/>
        <w:rPr>
          <w:sz w:val="20"/>
          <w:szCs w:val="20"/>
          <w:color w:val="auto"/>
        </w:rPr>
      </w:pPr>
    </w:p>
    <w:p>
      <w:pPr>
        <w:spacing w:after="0" w:line="249"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7"/>
          <w:szCs w:val="17"/>
          <w:b w:val="1"/>
          <w:bCs w:val="1"/>
          <w:color w:val="auto"/>
        </w:rPr>
        <w:t>Financial Statements and Exhibits</w:t>
      </w:r>
    </w:p>
    <w:p>
      <w:pPr>
        <w:spacing w:after="0" w:line="131" w:lineRule="exact"/>
        <w:rPr>
          <w:sz w:val="20"/>
          <w:szCs w:val="20"/>
          <w:color w:val="auto"/>
        </w:rPr>
      </w:pPr>
    </w:p>
    <w:p>
      <w:pPr>
        <w:ind w:left="200"/>
        <w:spacing w:after="0"/>
        <w:tabs>
          <w:tab w:leader="none" w:pos="880" w:val="left"/>
        </w:tabs>
        <w:rPr>
          <w:sz w:val="20"/>
          <w:szCs w:val="20"/>
          <w:color w:val="auto"/>
        </w:rPr>
      </w:pPr>
      <w:r>
        <w:rPr>
          <w:rFonts w:ascii="Arial" w:cs="Arial" w:eastAsia="Arial" w:hAnsi="Arial"/>
          <w:sz w:val="18"/>
          <w:szCs w:val="18"/>
          <w:color w:val="auto"/>
        </w:rPr>
        <w:t>(a)-(c)</w:t>
      </w:r>
      <w:r>
        <w:rPr>
          <w:sz w:val="20"/>
          <w:szCs w:val="20"/>
          <w:color w:val="auto"/>
        </w:rPr>
        <w:tab/>
      </w:r>
      <w:r>
        <w:rPr>
          <w:rFonts w:ascii="Arial" w:cs="Arial" w:eastAsia="Arial" w:hAnsi="Arial"/>
          <w:sz w:val="17"/>
          <w:szCs w:val="17"/>
          <w:color w:val="auto"/>
        </w:rPr>
        <w:t>Not Applicable</w:t>
      </w:r>
    </w:p>
    <w:p>
      <w:pPr>
        <w:spacing w:after="0" w:line="131" w:lineRule="exact"/>
        <w:rPr>
          <w:sz w:val="20"/>
          <w:szCs w:val="20"/>
          <w:color w:val="auto"/>
        </w:rPr>
      </w:pPr>
    </w:p>
    <w:tbl>
      <w:tblPr>
        <w:tblLayout w:type="fixed"/>
        <w:tblInd w:w="200" w:type="dxa"/>
        <w:tblCellMar>
          <w:top w:w="0" w:type="dxa"/>
          <w:left w:w="0" w:type="dxa"/>
          <w:bottom w:w="0" w:type="dxa"/>
          <w:right w:w="0" w:type="dxa"/>
        </w:tblCellMar>
      </w:tblPr>
      <w:tr>
        <w:trPr>
          <w:trHeight w:val="239"/>
        </w:trPr>
        <w:tc>
          <w:tcPr>
            <w:tcW w:w="2000" w:type="dxa"/>
            <w:vAlign w:val="bottom"/>
            <w:gridSpan w:val="5"/>
          </w:tcPr>
          <w:p>
            <w:pPr>
              <w:spacing w:after="0"/>
              <w:rPr>
                <w:sz w:val="20"/>
                <w:szCs w:val="20"/>
                <w:color w:val="auto"/>
              </w:rPr>
            </w:pPr>
            <w:r>
              <w:rPr>
                <w:rFonts w:ascii="Arial" w:cs="Arial" w:eastAsia="Arial" w:hAnsi="Arial"/>
                <w:sz w:val="18"/>
                <w:szCs w:val="18"/>
                <w:color w:val="auto"/>
              </w:rPr>
              <w:t>(d)  Exhibits:</w:t>
            </w:r>
          </w:p>
        </w:tc>
        <w:tc>
          <w:tcPr>
            <w:tcW w:w="900" w:type="dxa"/>
            <w:vAlign w:val="bottom"/>
          </w:tcPr>
          <w:p>
            <w:pPr>
              <w:spacing w:after="0"/>
              <w:rPr>
                <w:sz w:val="20"/>
                <w:szCs w:val="20"/>
                <w:color w:val="auto"/>
              </w:rPr>
            </w:pPr>
          </w:p>
        </w:tc>
        <w:tc>
          <w:tcPr>
            <w:tcW w:w="5080" w:type="dxa"/>
            <w:vAlign w:val="bottom"/>
          </w:tcPr>
          <w:p>
            <w:pPr>
              <w:spacing w:after="0"/>
              <w:rPr>
                <w:sz w:val="20"/>
                <w:szCs w:val="20"/>
                <w:color w:val="auto"/>
              </w:rPr>
            </w:pPr>
          </w:p>
        </w:tc>
      </w:tr>
      <w:tr>
        <w:trPr>
          <w:trHeight w:val="307"/>
        </w:trPr>
        <w:tc>
          <w:tcPr>
            <w:tcW w:w="660" w:type="dxa"/>
            <w:vAlign w:val="bottom"/>
          </w:tcPr>
          <w:p>
            <w:pPr>
              <w:spacing w:after="0"/>
              <w:rPr>
                <w:sz w:val="24"/>
                <w:szCs w:val="24"/>
                <w:color w:val="auto"/>
              </w:rPr>
            </w:pPr>
          </w:p>
        </w:tc>
        <w:tc>
          <w:tcPr>
            <w:tcW w:w="1340" w:type="dxa"/>
            <w:vAlign w:val="bottom"/>
            <w:gridSpan w:val="4"/>
          </w:tcPr>
          <w:p>
            <w:pPr>
              <w:jc w:val="center"/>
              <w:ind w:right="480"/>
              <w:spacing w:after="0"/>
              <w:rPr>
                <w:sz w:val="20"/>
                <w:szCs w:val="20"/>
                <w:color w:val="auto"/>
              </w:rPr>
            </w:pPr>
            <w:r>
              <w:rPr>
                <w:rFonts w:ascii="Arial" w:cs="Arial" w:eastAsia="Arial" w:hAnsi="Arial"/>
                <w:sz w:val="18"/>
                <w:szCs w:val="18"/>
                <w:color w:val="auto"/>
                <w:w w:val="98"/>
              </w:rPr>
              <w:t>Exhibit No.</w:t>
            </w:r>
          </w:p>
        </w:tc>
        <w:tc>
          <w:tcPr>
            <w:tcW w:w="5980" w:type="dxa"/>
            <w:vAlign w:val="bottom"/>
            <w:gridSpan w:val="2"/>
          </w:tcPr>
          <w:p>
            <w:pPr>
              <w:spacing w:after="0"/>
              <w:rPr>
                <w:sz w:val="20"/>
                <w:szCs w:val="20"/>
                <w:color w:val="auto"/>
              </w:rPr>
            </w:pPr>
            <w:r>
              <w:rPr>
                <w:rFonts w:ascii="Arial" w:cs="Arial" w:eastAsia="Arial" w:hAnsi="Arial"/>
                <w:sz w:val="18"/>
                <w:szCs w:val="18"/>
                <w:color w:val="auto"/>
              </w:rPr>
              <w:t>Description</w:t>
            </w:r>
          </w:p>
        </w:tc>
      </w:tr>
      <w:tr>
        <w:trPr>
          <w:trHeight w:val="20"/>
        </w:trPr>
        <w:tc>
          <w:tcPr>
            <w:tcW w:w="6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r>
      <w:tr>
        <w:trPr>
          <w:trHeight w:val="209"/>
        </w:trPr>
        <w:tc>
          <w:tcPr>
            <w:tcW w:w="660" w:type="dxa"/>
            <w:vAlign w:val="bottom"/>
          </w:tcPr>
          <w:p>
            <w:pPr>
              <w:spacing w:after="0"/>
              <w:rPr>
                <w:sz w:val="18"/>
                <w:szCs w:val="18"/>
                <w:color w:val="auto"/>
              </w:rPr>
            </w:pPr>
          </w:p>
        </w:tc>
        <w:tc>
          <w:tcPr>
            <w:tcW w:w="600" w:type="dxa"/>
            <w:vAlign w:val="bottom"/>
            <w:gridSpan w:val="2"/>
          </w:tcPr>
          <w:p>
            <w:pPr>
              <w:jc w:val="center"/>
              <w:spacing w:after="0"/>
              <w:rPr>
                <w:sz w:val="20"/>
                <w:szCs w:val="20"/>
                <w:color w:val="auto"/>
              </w:rPr>
            </w:pPr>
            <w:r>
              <w:rPr>
                <w:rFonts w:ascii="Arial" w:cs="Arial" w:eastAsia="Arial" w:hAnsi="Arial"/>
                <w:sz w:val="18"/>
                <w:szCs w:val="18"/>
                <w:color w:val="0000FF"/>
              </w:rPr>
              <w:t>99.</w:t>
            </w:r>
            <w:r>
              <w:rPr>
                <w:rFonts w:ascii="Arial" w:cs="Arial" w:eastAsia="Arial" w:hAnsi="Arial"/>
                <w:sz w:val="18"/>
                <w:szCs w:val="18"/>
                <w:u w:val="single" w:color="auto"/>
                <w:color w:val="0000FF"/>
              </w:rPr>
              <w:t>1</w:t>
            </w: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980" w:type="dxa"/>
            <w:vAlign w:val="bottom"/>
            <w:gridSpan w:val="2"/>
          </w:tcPr>
          <w:p>
            <w:pPr>
              <w:spacing w:after="0"/>
              <w:rPr>
                <w:sz w:val="20"/>
                <w:szCs w:val="20"/>
                <w:color w:val="auto"/>
              </w:rPr>
            </w:pPr>
            <w:r>
              <w:rPr>
                <w:rFonts w:ascii="Arial" w:cs="Arial" w:eastAsia="Arial" w:hAnsi="Arial"/>
                <w:sz w:val="18"/>
                <w:szCs w:val="18"/>
                <w:color w:val="0000FF"/>
                <w:w w:val="99"/>
              </w:rPr>
              <w:t>Earnings Release issued by Gibraltar Industries, Inc. on November 5, 2026</w:t>
            </w:r>
          </w:p>
        </w:tc>
      </w:tr>
      <w:tr>
        <w:trPr>
          <w:trHeight w:val="20"/>
        </w:trPr>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5080" w:type="dxa"/>
            <w:vAlign w:val="bottom"/>
            <w:shd w:val="clear" w:color="auto" w:fill="0000FF"/>
          </w:tcPr>
          <w:p>
            <w:pPr>
              <w:spacing w:after="0" w:line="20" w:lineRule="exact"/>
              <w:rPr>
                <w:sz w:val="1"/>
                <w:szCs w:val="1"/>
                <w:color w:val="auto"/>
              </w:rPr>
            </w:pPr>
          </w:p>
        </w:tc>
      </w:tr>
    </w:tbl>
    <w:p>
      <w:pPr>
        <w:spacing w:after="0" w:line="22" w:lineRule="exact"/>
        <w:rPr>
          <w:sz w:val="20"/>
          <w:szCs w:val="20"/>
          <w:color w:val="auto"/>
        </w:rPr>
      </w:pPr>
    </w:p>
    <w:p>
      <w:pPr>
        <w:ind w:left="2200" w:hanging="1060"/>
        <w:spacing w:after="0"/>
        <w:tabs>
          <w:tab w:leader="none" w:pos="220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Cover Page Interactive Data File (embedded within the Inline XBRL document)</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73" w:lineRule="exact"/>
        <w:rPr>
          <w:rFonts w:ascii="Arial" w:cs="Arial" w:eastAsia="Arial" w:hAnsi="Arial"/>
          <w:sz w:val="18"/>
          <w:szCs w:val="18"/>
          <w:color w:val="auto"/>
        </w:rPr>
      </w:pPr>
    </w:p>
    <w:p>
      <w:pPr>
        <w:ind w:left="5580"/>
        <w:spacing w:after="0"/>
        <w:rPr>
          <w:rFonts w:ascii="Arial" w:cs="Arial" w:eastAsia="Arial" w:hAnsi="Arial"/>
          <w:sz w:val="18"/>
          <w:szCs w:val="18"/>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-539115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41" w:right="339" w:bottom="1440" w:gutter="0" w:footer="0" w:header="0"/>
        </w:sectPr>
      </w:pPr>
    </w:p>
    <w:bookmarkStart w:id="2" w:name="page3"/>
    <w:bookmarkEnd w:id="2"/>
    <w:p>
      <w:pPr>
        <w:jc w:val="center"/>
        <w:ind w:right="-59"/>
        <w:spacing w:after="0"/>
        <w:rPr>
          <w:sz w:val="20"/>
          <w:szCs w:val="20"/>
          <w:color w:val="auto"/>
        </w:rPr>
      </w:pPr>
      <w:r>
        <w:rPr>
          <w:rFonts w:ascii="Arial" w:cs="Arial" w:eastAsia="Arial" w:hAnsi="Arial"/>
          <w:sz w:val="18"/>
          <w:szCs w:val="18"/>
          <w:b w:val="1"/>
          <w:bCs w:val="1"/>
          <w:color w:val="auto"/>
        </w:rPr>
        <w:t>SIGNATURES</w:t>
      </w:r>
    </w:p>
    <w:p>
      <w:pPr>
        <w:spacing w:after="0" w:line="131"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88" w:lineRule="exact"/>
        <w:rPr>
          <w:sz w:val="20"/>
          <w:szCs w:val="20"/>
          <w:color w:val="auto"/>
        </w:rPr>
      </w:pPr>
    </w:p>
    <w:tbl>
      <w:tblPr>
        <w:tblLayout w:type="fixed"/>
        <w:tblInd w:w="340" w:type="dxa"/>
        <w:tblCellMar>
          <w:top w:w="0" w:type="dxa"/>
          <w:left w:w="0" w:type="dxa"/>
          <w:bottom w:w="0" w:type="dxa"/>
          <w:right w:w="0" w:type="dxa"/>
        </w:tblCellMar>
      </w:tblPr>
      <w:tr>
        <w:trPr>
          <w:trHeight w:val="247"/>
        </w:trPr>
        <w:tc>
          <w:tcPr>
            <w:tcW w:w="9740" w:type="dxa"/>
            <w:vAlign w:val="bottom"/>
            <w:gridSpan w:val="2"/>
          </w:tcPr>
          <w:p>
            <w:pPr>
              <w:ind w:left="4040"/>
              <w:spacing w:after="0"/>
              <w:rPr>
                <w:sz w:val="20"/>
                <w:szCs w:val="20"/>
                <w:color w:val="auto"/>
              </w:rPr>
            </w:pPr>
            <w:r>
              <w:rPr>
                <w:rFonts w:ascii="Arial" w:cs="Arial" w:eastAsia="Arial" w:hAnsi="Arial"/>
                <w:sz w:val="18"/>
                <w:szCs w:val="18"/>
                <w:b w:val="1"/>
                <w:bCs w:val="1"/>
                <w:color w:val="auto"/>
              </w:rPr>
              <w:t>GIBRALTAR INDUSTRIES, INC.</w:t>
            </w:r>
          </w:p>
        </w:tc>
      </w:tr>
      <w:tr>
        <w:trPr>
          <w:trHeight w:val="401"/>
        </w:trPr>
        <w:tc>
          <w:tcPr>
            <w:tcW w:w="4740" w:type="dxa"/>
            <w:vAlign w:val="bottom"/>
          </w:tcPr>
          <w:p>
            <w:pPr>
              <w:spacing w:after="0"/>
              <w:rPr>
                <w:sz w:val="20"/>
                <w:szCs w:val="20"/>
                <w:color w:val="auto"/>
              </w:rPr>
            </w:pPr>
            <w:r>
              <w:rPr>
                <w:rFonts w:ascii="Arial" w:cs="Arial" w:eastAsia="Arial" w:hAnsi="Arial"/>
                <w:sz w:val="18"/>
                <w:szCs w:val="18"/>
                <w:color w:val="auto"/>
              </w:rPr>
              <w:t>Date: November 5, 2026</w:t>
            </w:r>
          </w:p>
        </w:tc>
        <w:tc>
          <w:tcPr>
            <w:tcW w:w="5000" w:type="dxa"/>
            <w:vAlign w:val="bottom"/>
          </w:tcPr>
          <w:p>
            <w:pPr>
              <w:spacing w:after="0"/>
              <w:rPr>
                <w:sz w:val="24"/>
                <w:szCs w:val="24"/>
                <w:color w:val="auto"/>
              </w:rPr>
            </w:pPr>
          </w:p>
        </w:tc>
      </w:tr>
      <w:tr>
        <w:trPr>
          <w:trHeight w:val="235"/>
        </w:trPr>
        <w:tc>
          <w:tcPr>
            <w:tcW w:w="4740" w:type="dxa"/>
            <w:vAlign w:val="bottom"/>
          </w:tcPr>
          <w:p>
            <w:pPr>
              <w:ind w:left="4040"/>
              <w:spacing w:after="0"/>
              <w:rPr>
                <w:sz w:val="20"/>
                <w:szCs w:val="20"/>
                <w:color w:val="auto"/>
              </w:rPr>
            </w:pPr>
            <w:r>
              <w:rPr>
                <w:rFonts w:ascii="Arial" w:cs="Arial" w:eastAsia="Arial" w:hAnsi="Arial"/>
                <w:sz w:val="18"/>
                <w:szCs w:val="18"/>
                <w:color w:val="auto"/>
              </w:rPr>
              <w:t>By:</w:t>
            </w:r>
          </w:p>
        </w:tc>
        <w:tc>
          <w:tcPr>
            <w:tcW w:w="50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Joseph A. Lovechio</w:t>
            </w:r>
          </w:p>
        </w:tc>
      </w:tr>
      <w:tr>
        <w:trPr>
          <w:trHeight w:val="218"/>
        </w:trPr>
        <w:tc>
          <w:tcPr>
            <w:tcW w:w="4740" w:type="dxa"/>
            <w:vAlign w:val="bottom"/>
          </w:tcPr>
          <w:p>
            <w:pPr>
              <w:spacing w:after="0"/>
              <w:rPr>
                <w:sz w:val="18"/>
                <w:szCs w:val="18"/>
                <w:color w:val="auto"/>
              </w:rPr>
            </w:pPr>
          </w:p>
        </w:tc>
        <w:tc>
          <w:tcPr>
            <w:tcW w:w="5000" w:type="dxa"/>
            <w:vAlign w:val="bottom"/>
          </w:tcPr>
          <w:p>
            <w:pPr>
              <w:ind w:left="20"/>
              <w:spacing w:after="0"/>
              <w:rPr>
                <w:sz w:val="20"/>
                <w:szCs w:val="20"/>
                <w:color w:val="auto"/>
              </w:rPr>
            </w:pPr>
            <w:r>
              <w:rPr>
                <w:rFonts w:ascii="Arial" w:cs="Arial" w:eastAsia="Arial" w:hAnsi="Arial"/>
                <w:sz w:val="18"/>
                <w:szCs w:val="18"/>
                <w:color w:val="auto"/>
              </w:rPr>
              <w:t>Joseph A. Lovechio</w:t>
            </w:r>
          </w:p>
        </w:tc>
      </w:tr>
      <w:tr>
        <w:trPr>
          <w:trHeight w:val="239"/>
        </w:trPr>
        <w:tc>
          <w:tcPr>
            <w:tcW w:w="4740" w:type="dxa"/>
            <w:vAlign w:val="bottom"/>
          </w:tcPr>
          <w:p>
            <w:pPr>
              <w:spacing w:after="0"/>
              <w:rPr>
                <w:sz w:val="20"/>
                <w:szCs w:val="20"/>
                <w:color w:val="auto"/>
              </w:rPr>
            </w:pPr>
          </w:p>
        </w:tc>
        <w:tc>
          <w:tcPr>
            <w:tcW w:w="5000" w:type="dxa"/>
            <w:vAlign w:val="bottom"/>
          </w:tcPr>
          <w:p>
            <w:pPr>
              <w:ind w:left="20"/>
              <w:spacing w:after="0"/>
              <w:rPr>
                <w:sz w:val="20"/>
                <w:szCs w:val="20"/>
                <w:color w:val="auto"/>
              </w:rPr>
            </w:pPr>
            <w:r>
              <w:rPr>
                <w:rFonts w:ascii="Arial" w:cs="Arial" w:eastAsia="Arial" w:hAnsi="Arial"/>
                <w:sz w:val="18"/>
                <w:szCs w:val="18"/>
                <w:color w:val="auto"/>
              </w:rPr>
              <w:t>Vice President and 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00"/>
          </w:cols>
          <w:pgMar w:left="320" w:top="1160" w:right="37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5205730</wp:posOffset>
            </wp:positionH>
            <wp:positionV relativeFrom="page">
              <wp:posOffset>311785</wp:posOffset>
            </wp:positionV>
            <wp:extent cx="2134235" cy="2743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2134235" cy="274320"/>
                    </a:xfrm>
                    <a:prstGeom prst="rect">
                      <a:avLst/>
                    </a:prstGeom>
                    <a:noFill/>
                  </pic:spPr>
                </pic:pic>
              </a:graphicData>
            </a:graphic>
          </wp:anchor>
        </w:drawing>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auto"/>
        </w:rPr>
        <w:t>Gibraltar Reports Third Quarter 2026 Results</w:t>
      </w:r>
    </w:p>
    <w:p>
      <w:pPr>
        <w:spacing w:after="0" w:line="160" w:lineRule="exact"/>
        <w:rPr>
          <w:sz w:val="20"/>
          <w:szCs w:val="20"/>
          <w:color w:val="auto"/>
        </w:rPr>
      </w:pPr>
    </w:p>
    <w:p>
      <w:pPr>
        <w:ind w:left="1580"/>
        <w:spacing w:after="0"/>
        <w:rPr>
          <w:sz w:val="20"/>
          <w:szCs w:val="20"/>
          <w:color w:val="auto"/>
        </w:rPr>
      </w:pPr>
      <w:r>
        <w:rPr>
          <w:rFonts w:ascii="Arial" w:cs="Arial" w:eastAsia="Arial" w:hAnsi="Arial"/>
          <w:sz w:val="22"/>
          <w:szCs w:val="22"/>
          <w:i w:val="1"/>
          <w:iCs w:val="1"/>
          <w:color w:val="auto"/>
        </w:rPr>
        <w:t>Net sales +54% with acquisition of OmniMax and Residential organic growth of 3.1%</w:t>
      </w:r>
    </w:p>
    <w:p>
      <w:pPr>
        <w:spacing w:after="0" w:line="112" w:lineRule="exact"/>
        <w:rPr>
          <w:sz w:val="20"/>
          <w:szCs w:val="20"/>
          <w:color w:val="auto"/>
        </w:rPr>
      </w:pPr>
    </w:p>
    <w:p>
      <w:pPr>
        <w:ind w:left="380"/>
        <w:spacing w:after="0"/>
        <w:rPr>
          <w:sz w:val="20"/>
          <w:szCs w:val="20"/>
          <w:color w:val="auto"/>
        </w:rPr>
      </w:pPr>
      <w:r>
        <w:rPr>
          <w:rFonts w:ascii="Arial" w:cs="Arial" w:eastAsia="Arial" w:hAnsi="Arial"/>
          <w:sz w:val="22"/>
          <w:szCs w:val="22"/>
          <w:i w:val="1"/>
          <w:iCs w:val="1"/>
          <w:color w:val="auto"/>
        </w:rPr>
        <w:t>Residential significantly outperformed a weak end market; Agtech project delays affected revenue and margin</w:t>
      </w:r>
    </w:p>
    <w:p>
      <w:pPr>
        <w:spacing w:after="0" w:line="125" w:lineRule="exact"/>
        <w:rPr>
          <w:sz w:val="20"/>
          <w:szCs w:val="20"/>
          <w:color w:val="auto"/>
        </w:rPr>
      </w:pPr>
    </w:p>
    <w:p>
      <w:pPr>
        <w:ind w:left="3120"/>
        <w:spacing w:after="0"/>
        <w:rPr>
          <w:sz w:val="20"/>
          <w:szCs w:val="20"/>
          <w:color w:val="auto"/>
        </w:rPr>
      </w:pPr>
      <w:r>
        <w:rPr>
          <w:rFonts w:ascii="Arial" w:cs="Arial" w:eastAsia="Arial" w:hAnsi="Arial"/>
          <w:sz w:val="22"/>
          <w:szCs w:val="22"/>
          <w:i w:val="1"/>
          <w:iCs w:val="1"/>
          <w:color w:val="auto"/>
        </w:rPr>
        <w:t>Raising 2026 synergy commitment $7.3M to $36.5M</w:t>
      </w:r>
    </w:p>
    <w:p>
      <w:pPr>
        <w:spacing w:after="0" w:line="112" w:lineRule="exact"/>
        <w:rPr>
          <w:sz w:val="20"/>
          <w:szCs w:val="20"/>
          <w:color w:val="auto"/>
        </w:rPr>
      </w:pPr>
    </w:p>
    <w:p>
      <w:pPr>
        <w:ind w:left="380"/>
        <w:spacing w:after="0"/>
        <w:rPr>
          <w:sz w:val="20"/>
          <w:szCs w:val="20"/>
          <w:color w:val="auto"/>
        </w:rPr>
      </w:pPr>
      <w:r>
        <w:rPr>
          <w:rFonts w:ascii="Arial" w:cs="Arial" w:eastAsia="Arial" w:hAnsi="Arial"/>
          <w:sz w:val="22"/>
          <w:szCs w:val="22"/>
          <w:i w:val="1"/>
          <w:iCs w:val="1"/>
          <w:color w:val="auto"/>
        </w:rPr>
        <w:t>EPS GAAP $0.69, Adjusted $1.01 – Adjusting 2026 guidance for slower Residential outlook and Infrastructure</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reclassification into discontinued operations</w:t>
      </w:r>
    </w:p>
    <w:p>
      <w:pPr>
        <w:spacing w:after="0" w:line="200" w:lineRule="exact"/>
        <w:rPr>
          <w:sz w:val="20"/>
          <w:szCs w:val="20"/>
          <w:color w:val="auto"/>
        </w:rPr>
      </w:pPr>
    </w:p>
    <w:p>
      <w:pPr>
        <w:spacing w:after="0" w:line="232" w:lineRule="exact"/>
        <w:rPr>
          <w:sz w:val="20"/>
          <w:szCs w:val="20"/>
          <w:color w:val="auto"/>
        </w:rPr>
      </w:pPr>
    </w:p>
    <w:p>
      <w:pPr>
        <w:jc w:val="both"/>
        <w:spacing w:after="0" w:line="263" w:lineRule="auto"/>
        <w:rPr>
          <w:sz w:val="20"/>
          <w:szCs w:val="20"/>
          <w:color w:val="auto"/>
        </w:rPr>
      </w:pPr>
      <w:r>
        <w:rPr>
          <w:rFonts w:ascii="Arial" w:cs="Arial" w:eastAsia="Arial" w:hAnsi="Arial"/>
          <w:sz w:val="20"/>
          <w:szCs w:val="20"/>
          <w:b w:val="1"/>
          <w:bCs w:val="1"/>
          <w:color w:val="auto"/>
        </w:rPr>
        <w:t xml:space="preserve">Buffalo, New York, November 5, 2026 </w:t>
      </w:r>
      <w:r>
        <w:rPr>
          <w:rFonts w:ascii="Arial" w:cs="Arial" w:eastAsia="Arial" w:hAnsi="Arial"/>
          <w:sz w:val="20"/>
          <w:szCs w:val="20"/>
          <w:color w:val="auto"/>
        </w:rPr>
        <w:t>– Gibraltar Industries, Inc. (Nasdaq: ROCK), a leading manufacturer and provider of</w:t>
      </w:r>
      <w:r>
        <w:rPr>
          <w:rFonts w:ascii="Arial" w:cs="Arial" w:eastAsia="Arial" w:hAnsi="Arial"/>
          <w:sz w:val="20"/>
          <w:szCs w:val="20"/>
          <w:b w:val="1"/>
          <w:bCs w:val="1"/>
          <w:color w:val="auto"/>
        </w:rPr>
        <w:t xml:space="preserve"> </w:t>
      </w:r>
      <w:r>
        <w:rPr>
          <w:rFonts w:ascii="Arial" w:cs="Arial" w:eastAsia="Arial" w:hAnsi="Arial"/>
          <w:sz w:val="20"/>
          <w:szCs w:val="20"/>
          <w:color w:val="auto"/>
        </w:rPr>
        <w:t>products and services for the residential and agtech markets, today reported its financial results for the three-month and nine-month period ended September 30, 2026.</w:t>
      </w:r>
    </w:p>
    <w:p>
      <w:pPr>
        <w:spacing w:after="0" w:line="69" w:lineRule="exact"/>
        <w:rPr>
          <w:sz w:val="20"/>
          <w:szCs w:val="20"/>
          <w:color w:val="auto"/>
        </w:rPr>
      </w:pPr>
    </w:p>
    <w:p>
      <w:pPr>
        <w:jc w:val="both"/>
        <w:spacing w:after="0" w:line="254" w:lineRule="auto"/>
        <w:rPr>
          <w:sz w:val="20"/>
          <w:szCs w:val="20"/>
          <w:color w:val="auto"/>
        </w:rPr>
      </w:pPr>
      <w:r>
        <w:rPr>
          <w:rFonts w:ascii="Arial" w:cs="Arial" w:eastAsia="Arial" w:hAnsi="Arial"/>
          <w:sz w:val="20"/>
          <w:szCs w:val="20"/>
          <w:color w:val="auto"/>
        </w:rPr>
        <w:t>“Our residential business delivered solid revenue and margin performance in an end market that declined 13% in the quarter, slowing more than 2.5 times our expectation going into the quarter. Despite sector weakness, our Residential business generated organic growth of 3.1% and delivered 18.9% adjusted EBITDA margin. Sequentially, we held margin flat despite revenue decreasing 6.3% and the incremental inflation absorbed in the quarter across steel, logistics, and fuel. Our Agtech business was impacted by two large controlled environmental agriculture (CEA) project delays resulting in a significant shift of revenue and margin out of the quarter. One of these projects has recently received permitting approval and we expect the second project to receive approval in December,” stated Chairman and CEO Bill Bosway.</w:t>
      </w:r>
    </w:p>
    <w:p>
      <w:pPr>
        <w:spacing w:after="0" w:line="65" w:lineRule="exact"/>
        <w:rPr>
          <w:sz w:val="20"/>
          <w:szCs w:val="20"/>
          <w:color w:val="auto"/>
        </w:rPr>
      </w:pPr>
    </w:p>
    <w:p>
      <w:pPr>
        <w:jc w:val="both"/>
        <w:spacing w:after="0" w:line="254" w:lineRule="auto"/>
        <w:rPr>
          <w:sz w:val="20"/>
          <w:szCs w:val="20"/>
          <w:color w:val="auto"/>
        </w:rPr>
      </w:pPr>
      <w:r>
        <w:rPr>
          <w:rFonts w:ascii="Arial" w:cs="Arial" w:eastAsia="Arial" w:hAnsi="Arial"/>
          <w:sz w:val="20"/>
          <w:szCs w:val="20"/>
          <w:color w:val="auto"/>
        </w:rPr>
        <w:t>“We remained focused on our core strategic priorities – simplifying the portfolio, strengthening the balance sheet, integrating OmniMax, and optimizing the Residential business. We recently announced an agreement to divest our Infrastructure business, D.S. Brown, for $208 million and expect this transaction to close in the fourth quarter. To accelerate Residential optimization, we have implemented an additional $7.3 million of cost synergies and are raising our 2026 commitment to $36.5 million. We also continued to gain participation in the market and were recently recognized by Lowes as a divisional Building Products Vendor Partner of the Year. These achievements underscore the inherent opportunity and strength of our collective value proposition particularly given the near-term challenges in today’s market environment.”</w:t>
      </w:r>
    </w:p>
    <w:p>
      <w:pPr>
        <w:spacing w:after="0" w:line="65" w:lineRule="exact"/>
        <w:rPr>
          <w:sz w:val="20"/>
          <w:szCs w:val="20"/>
          <w:color w:val="auto"/>
        </w:rPr>
      </w:pPr>
    </w:p>
    <w:p>
      <w:pPr>
        <w:spacing w:after="0"/>
        <w:rPr>
          <w:sz w:val="20"/>
          <w:szCs w:val="20"/>
          <w:color w:val="auto"/>
        </w:rPr>
      </w:pPr>
      <w:r>
        <w:rPr>
          <w:rFonts w:ascii="Arial" w:cs="Arial" w:eastAsia="Arial" w:hAnsi="Arial"/>
          <w:sz w:val="20"/>
          <w:szCs w:val="20"/>
          <w:color w:val="auto"/>
        </w:rPr>
        <w:t>As a reminder, Gibraltar completed the divestiture of the Renewables business on July 15, 2026.</w:t>
      </w:r>
    </w:p>
    <w:p>
      <w:pPr>
        <w:spacing w:after="0" w:line="23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Third Quarter 2026 Results from Continuing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29210</wp:posOffset>
            </wp:positionV>
            <wp:extent cx="62750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275070" cy="8255"/>
                    </a:xfrm>
                    <a:prstGeom prst="rect">
                      <a:avLst/>
                    </a:prstGeom>
                    <a:noFill/>
                  </pic:spPr>
                </pic:pic>
              </a:graphicData>
            </a:graphic>
          </wp:anchor>
        </w:drawing>
      </w:r>
    </w:p>
    <w:p>
      <w:pPr>
        <w:spacing w:after="0" w:line="31" w:lineRule="exact"/>
        <w:rPr>
          <w:sz w:val="20"/>
          <w:szCs w:val="20"/>
          <w:color w:val="auto"/>
        </w:rPr>
      </w:pPr>
    </w:p>
    <w:p>
      <w:pPr>
        <w:ind w:left="3420"/>
        <w:spacing w:after="0"/>
        <w:rPr>
          <w:sz w:val="20"/>
          <w:szCs w:val="20"/>
          <w:color w:val="auto"/>
        </w:rPr>
      </w:pPr>
      <w:r>
        <w:rPr>
          <w:rFonts w:ascii="Arial" w:cs="Arial" w:eastAsia="Arial" w:hAnsi="Arial"/>
          <w:sz w:val="20"/>
          <w:szCs w:val="20"/>
          <w:color w:val="auto"/>
        </w:rPr>
        <w:t>Three Months Ended September 30,</w:t>
      </w:r>
    </w:p>
    <w:p>
      <w:pPr>
        <w:spacing w:after="0" w:line="31" w:lineRule="exact"/>
        <w:rPr>
          <w:sz w:val="20"/>
          <w:szCs w:val="20"/>
          <w:color w:val="auto"/>
        </w:rPr>
      </w:pPr>
    </w:p>
    <w:tbl>
      <w:tblPr>
        <w:tblLayout w:type="fixed"/>
        <w:tblInd w:w="80" w:type="dxa"/>
        <w:tblCellMar>
          <w:top w:w="0" w:type="dxa"/>
          <w:left w:w="0" w:type="dxa"/>
          <w:bottom w:w="0" w:type="dxa"/>
          <w:right w:w="0" w:type="dxa"/>
        </w:tblCellMar>
      </w:tblPr>
      <w:tr>
        <w:trPr>
          <w:trHeight w:val="199"/>
        </w:trPr>
        <w:tc>
          <w:tcPr>
            <w:tcW w:w="4560" w:type="dxa"/>
            <w:vAlign w:val="bottom"/>
            <w:tcBorders>
              <w:top w:val="single" w:sz="8" w:color="auto"/>
            </w:tcBorders>
          </w:tcPr>
          <w:p>
            <w:pPr>
              <w:spacing w:after="0"/>
              <w:rPr>
                <w:sz w:val="17"/>
                <w:szCs w:val="17"/>
                <w:color w:val="auto"/>
              </w:rPr>
            </w:pPr>
          </w:p>
        </w:tc>
        <w:tc>
          <w:tcPr>
            <w:tcW w:w="146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tcPr>
          <w:p>
            <w:pPr>
              <w:jc w:val="center"/>
              <w:spacing w:after="0" w:line="200" w:lineRule="exact"/>
              <w:rPr>
                <w:sz w:val="20"/>
                <w:szCs w:val="20"/>
                <w:color w:val="auto"/>
              </w:rPr>
            </w:pPr>
            <w:r>
              <w:rPr>
                <w:rFonts w:ascii="Arial" w:cs="Arial" w:eastAsia="Arial" w:hAnsi="Arial"/>
                <w:sz w:val="20"/>
                <w:szCs w:val="20"/>
                <w:color w:val="auto"/>
                <w:w w:val="98"/>
              </w:rPr>
              <w:t>2026</w:t>
            </w:r>
          </w:p>
        </w:tc>
        <w:tc>
          <w:tcPr>
            <w:tcW w:w="52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gridSpan w:val="2"/>
          </w:tcPr>
          <w:p>
            <w:pPr>
              <w:jc w:val="center"/>
              <w:ind w:right="500"/>
              <w:spacing w:after="0" w:line="200" w:lineRule="exact"/>
              <w:rPr>
                <w:sz w:val="20"/>
                <w:szCs w:val="20"/>
                <w:color w:val="auto"/>
              </w:rPr>
            </w:pPr>
            <w:r>
              <w:rPr>
                <w:rFonts w:ascii="Arial" w:cs="Arial" w:eastAsia="Arial" w:hAnsi="Arial"/>
                <w:sz w:val="20"/>
                <w:szCs w:val="20"/>
                <w:color w:val="auto"/>
                <w:w w:val="98"/>
              </w:rPr>
              <w:t>2025</w:t>
            </w:r>
          </w:p>
        </w:tc>
        <w:tc>
          <w:tcPr>
            <w:tcW w:w="1480" w:type="dxa"/>
            <w:vAlign w:val="bottom"/>
            <w:tcBorders>
              <w:top w:val="single" w:sz="8" w:color="auto"/>
            </w:tcBorders>
            <w:gridSpan w:val="3"/>
          </w:tcPr>
          <w:p>
            <w:pPr>
              <w:ind w:left="400"/>
              <w:spacing w:after="0" w:line="200" w:lineRule="exact"/>
              <w:rPr>
                <w:sz w:val="20"/>
                <w:szCs w:val="20"/>
                <w:color w:val="auto"/>
              </w:rPr>
            </w:pPr>
            <w:r>
              <w:rPr>
                <w:rFonts w:ascii="Arial" w:cs="Arial" w:eastAsia="Arial" w:hAnsi="Arial"/>
                <w:sz w:val="20"/>
                <w:szCs w:val="20"/>
                <w:color w:val="auto"/>
              </w:rPr>
              <w:t>Change</w:t>
            </w:r>
          </w:p>
        </w:tc>
      </w:tr>
      <w:tr>
        <w:trPr>
          <w:trHeight w:val="20"/>
        </w:trPr>
        <w:tc>
          <w:tcPr>
            <w:tcW w:w="45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82"/>
        </w:trPr>
        <w:tc>
          <w:tcPr>
            <w:tcW w:w="4560" w:type="dxa"/>
            <w:vAlign w:val="bottom"/>
          </w:tcPr>
          <w:p>
            <w:pPr>
              <w:ind w:left="20"/>
              <w:spacing w:after="0"/>
              <w:rPr>
                <w:sz w:val="20"/>
                <w:szCs w:val="20"/>
                <w:color w:val="auto"/>
              </w:rPr>
            </w:pPr>
            <w:r>
              <w:rPr>
                <w:rFonts w:ascii="Arial" w:cs="Arial" w:eastAsia="Arial" w:hAnsi="Arial"/>
                <w:sz w:val="20"/>
                <w:szCs w:val="20"/>
                <w:color w:val="auto"/>
              </w:rPr>
              <w:t>Net Sales</w:t>
            </w:r>
          </w:p>
        </w:tc>
        <w:tc>
          <w:tcPr>
            <w:tcW w:w="2420" w:type="dxa"/>
            <w:vAlign w:val="bottom"/>
            <w:gridSpan w:val="3"/>
          </w:tcPr>
          <w:p>
            <w:pPr>
              <w:jc w:val="center"/>
              <w:ind w:left="841"/>
              <w:spacing w:after="0"/>
              <w:rPr>
                <w:sz w:val="20"/>
                <w:szCs w:val="20"/>
                <w:color w:val="auto"/>
              </w:rPr>
            </w:pPr>
            <w:r>
              <w:rPr>
                <w:rFonts w:ascii="Arial" w:cs="Arial" w:eastAsia="Arial" w:hAnsi="Arial"/>
                <w:sz w:val="20"/>
                <w:szCs w:val="20"/>
                <w:color w:val="auto"/>
                <w:w w:val="98"/>
              </w:rPr>
              <w:t>$479.6</w:t>
            </w:r>
          </w:p>
        </w:tc>
        <w:tc>
          <w:tcPr>
            <w:tcW w:w="1440" w:type="dxa"/>
            <w:vAlign w:val="bottom"/>
            <w:gridSpan w:val="3"/>
          </w:tcPr>
          <w:p>
            <w:pPr>
              <w:jc w:val="center"/>
              <w:spacing w:after="0"/>
              <w:rPr>
                <w:sz w:val="20"/>
                <w:szCs w:val="20"/>
                <w:color w:val="auto"/>
              </w:rPr>
            </w:pPr>
            <w:r>
              <w:rPr>
                <w:rFonts w:ascii="Arial" w:cs="Arial" w:eastAsia="Arial" w:hAnsi="Arial"/>
                <w:sz w:val="20"/>
                <w:szCs w:val="20"/>
                <w:color w:val="auto"/>
                <w:w w:val="98"/>
              </w:rPr>
              <w:t>$310.9</w:t>
            </w:r>
          </w:p>
        </w:tc>
        <w:tc>
          <w:tcPr>
            <w:tcW w:w="1080" w:type="dxa"/>
            <w:vAlign w:val="bottom"/>
            <w:gridSpan w:val="2"/>
          </w:tcPr>
          <w:p>
            <w:pPr>
              <w:jc w:val="center"/>
              <w:ind w:left="301"/>
              <w:spacing w:after="0"/>
              <w:rPr>
                <w:sz w:val="20"/>
                <w:szCs w:val="20"/>
                <w:color w:val="auto"/>
              </w:rPr>
            </w:pPr>
            <w:r>
              <w:rPr>
                <w:rFonts w:ascii="Arial" w:cs="Arial" w:eastAsia="Arial" w:hAnsi="Arial"/>
                <w:sz w:val="20"/>
                <w:szCs w:val="20"/>
                <w:color w:val="auto"/>
                <w:w w:val="98"/>
              </w:rPr>
              <w:t>54.3%</w:t>
            </w:r>
          </w:p>
        </w:tc>
        <w:tc>
          <w:tcPr>
            <w:tcW w:w="400" w:type="dxa"/>
            <w:vAlign w:val="bottom"/>
          </w:tcPr>
          <w:p>
            <w:pPr>
              <w:spacing w:after="0"/>
              <w:rPr>
                <w:sz w:val="24"/>
                <w:szCs w:val="24"/>
                <w:color w:val="auto"/>
              </w:rPr>
            </w:pPr>
          </w:p>
        </w:tc>
      </w:tr>
      <w:tr>
        <w:trPr>
          <w:trHeight w:val="257"/>
        </w:trPr>
        <w:tc>
          <w:tcPr>
            <w:tcW w:w="4560" w:type="dxa"/>
            <w:vAlign w:val="bottom"/>
          </w:tcPr>
          <w:p>
            <w:pPr>
              <w:ind w:left="20"/>
              <w:spacing w:after="0"/>
              <w:rPr>
                <w:sz w:val="20"/>
                <w:szCs w:val="20"/>
                <w:color w:val="auto"/>
              </w:rPr>
            </w:pPr>
            <w:r>
              <w:rPr>
                <w:rFonts w:ascii="Arial" w:cs="Arial" w:eastAsia="Arial" w:hAnsi="Arial"/>
                <w:sz w:val="20"/>
                <w:szCs w:val="20"/>
                <w:color w:val="auto"/>
              </w:rPr>
              <w:t>Net Income</w:t>
            </w:r>
          </w:p>
        </w:tc>
        <w:tc>
          <w:tcPr>
            <w:tcW w:w="2420" w:type="dxa"/>
            <w:vAlign w:val="bottom"/>
            <w:gridSpan w:val="3"/>
          </w:tcPr>
          <w:p>
            <w:pPr>
              <w:jc w:val="center"/>
              <w:ind w:left="861"/>
              <w:spacing w:after="0"/>
              <w:rPr>
                <w:sz w:val="20"/>
                <w:szCs w:val="20"/>
                <w:color w:val="auto"/>
              </w:rPr>
            </w:pPr>
            <w:r>
              <w:rPr>
                <w:rFonts w:ascii="Arial" w:cs="Arial" w:eastAsia="Arial" w:hAnsi="Arial"/>
                <w:sz w:val="20"/>
                <w:szCs w:val="20"/>
                <w:color w:val="auto"/>
                <w:w w:val="99"/>
              </w:rPr>
              <w:t>$20.6</w:t>
            </w:r>
          </w:p>
        </w:tc>
        <w:tc>
          <w:tcPr>
            <w:tcW w:w="1440" w:type="dxa"/>
            <w:vAlign w:val="bottom"/>
            <w:gridSpan w:val="3"/>
          </w:tcPr>
          <w:p>
            <w:pPr>
              <w:jc w:val="center"/>
              <w:spacing w:after="0"/>
              <w:rPr>
                <w:sz w:val="20"/>
                <w:szCs w:val="20"/>
                <w:color w:val="auto"/>
              </w:rPr>
            </w:pPr>
            <w:r>
              <w:rPr>
                <w:rFonts w:ascii="Arial" w:cs="Arial" w:eastAsia="Arial" w:hAnsi="Arial"/>
                <w:sz w:val="20"/>
                <w:szCs w:val="20"/>
                <w:color w:val="auto"/>
                <w:w w:val="99"/>
              </w:rPr>
              <w:t>$33.2</w:t>
            </w:r>
          </w:p>
        </w:tc>
        <w:tc>
          <w:tcPr>
            <w:tcW w:w="1480" w:type="dxa"/>
            <w:vAlign w:val="bottom"/>
            <w:gridSpan w:val="3"/>
          </w:tcPr>
          <w:p>
            <w:pPr>
              <w:jc w:val="center"/>
              <w:spacing w:after="0"/>
              <w:rPr>
                <w:sz w:val="20"/>
                <w:szCs w:val="20"/>
                <w:color w:val="auto"/>
              </w:rPr>
            </w:pPr>
            <w:r>
              <w:rPr>
                <w:rFonts w:ascii="Arial" w:cs="Arial" w:eastAsia="Arial" w:hAnsi="Arial"/>
                <w:sz w:val="20"/>
                <w:szCs w:val="20"/>
                <w:color w:val="auto"/>
                <w:w w:val="97"/>
              </w:rPr>
              <w:t>(38.0)%</w:t>
            </w:r>
          </w:p>
        </w:tc>
      </w:tr>
      <w:tr>
        <w:trPr>
          <w:trHeight w:val="257"/>
        </w:trPr>
        <w:tc>
          <w:tcPr>
            <w:tcW w:w="4560" w:type="dxa"/>
            <w:vAlign w:val="bottom"/>
          </w:tcPr>
          <w:p>
            <w:pPr>
              <w:ind w:left="20"/>
              <w:spacing w:after="0"/>
              <w:rPr>
                <w:sz w:val="20"/>
                <w:szCs w:val="20"/>
                <w:color w:val="auto"/>
              </w:rPr>
            </w:pPr>
            <w:r>
              <w:rPr>
                <w:rFonts w:ascii="Arial" w:cs="Arial" w:eastAsia="Arial" w:hAnsi="Arial"/>
                <w:sz w:val="20"/>
                <w:szCs w:val="20"/>
                <w:color w:val="auto"/>
              </w:rPr>
              <w:t>Adjusted Net Income</w:t>
            </w:r>
          </w:p>
        </w:tc>
        <w:tc>
          <w:tcPr>
            <w:tcW w:w="2420" w:type="dxa"/>
            <w:vAlign w:val="bottom"/>
            <w:gridSpan w:val="3"/>
          </w:tcPr>
          <w:p>
            <w:pPr>
              <w:jc w:val="center"/>
              <w:ind w:left="861"/>
              <w:spacing w:after="0"/>
              <w:rPr>
                <w:sz w:val="20"/>
                <w:szCs w:val="20"/>
                <w:color w:val="auto"/>
              </w:rPr>
            </w:pPr>
            <w:r>
              <w:rPr>
                <w:rFonts w:ascii="Arial" w:cs="Arial" w:eastAsia="Arial" w:hAnsi="Arial"/>
                <w:sz w:val="20"/>
                <w:szCs w:val="20"/>
                <w:color w:val="auto"/>
                <w:w w:val="99"/>
              </w:rPr>
              <w:t>$30.1</w:t>
            </w:r>
          </w:p>
        </w:tc>
        <w:tc>
          <w:tcPr>
            <w:tcW w:w="1440" w:type="dxa"/>
            <w:vAlign w:val="bottom"/>
            <w:gridSpan w:val="3"/>
          </w:tcPr>
          <w:p>
            <w:pPr>
              <w:jc w:val="center"/>
              <w:spacing w:after="0"/>
              <w:rPr>
                <w:sz w:val="20"/>
                <w:szCs w:val="20"/>
                <w:color w:val="auto"/>
              </w:rPr>
            </w:pPr>
            <w:r>
              <w:rPr>
                <w:rFonts w:ascii="Arial" w:cs="Arial" w:eastAsia="Arial" w:hAnsi="Arial"/>
                <w:sz w:val="20"/>
                <w:szCs w:val="20"/>
                <w:color w:val="auto"/>
                <w:w w:val="99"/>
              </w:rPr>
              <w:t>$34.0</w:t>
            </w:r>
          </w:p>
        </w:tc>
        <w:tc>
          <w:tcPr>
            <w:tcW w:w="1080" w:type="dxa"/>
            <w:vAlign w:val="bottom"/>
            <w:gridSpan w:val="2"/>
          </w:tcPr>
          <w:p>
            <w:pPr>
              <w:jc w:val="center"/>
              <w:ind w:left="301"/>
              <w:spacing w:after="0"/>
              <w:rPr>
                <w:sz w:val="20"/>
                <w:szCs w:val="20"/>
                <w:color w:val="auto"/>
              </w:rPr>
            </w:pPr>
            <w:r>
              <w:rPr>
                <w:rFonts w:ascii="Arial" w:cs="Arial" w:eastAsia="Arial" w:hAnsi="Arial"/>
                <w:sz w:val="20"/>
                <w:szCs w:val="20"/>
                <w:color w:val="auto"/>
                <w:w w:val="97"/>
              </w:rPr>
              <w:t>(11.5)%</w:t>
            </w:r>
          </w:p>
        </w:tc>
        <w:tc>
          <w:tcPr>
            <w:tcW w:w="400" w:type="dxa"/>
            <w:vAlign w:val="bottom"/>
          </w:tcPr>
          <w:p>
            <w:pPr>
              <w:spacing w:after="0"/>
              <w:rPr>
                <w:sz w:val="22"/>
                <w:szCs w:val="22"/>
                <w:color w:val="auto"/>
              </w:rPr>
            </w:pPr>
          </w:p>
        </w:tc>
      </w:tr>
      <w:tr>
        <w:trPr>
          <w:trHeight w:val="256"/>
        </w:trPr>
        <w:tc>
          <w:tcPr>
            <w:tcW w:w="4560" w:type="dxa"/>
            <w:vAlign w:val="bottom"/>
          </w:tcPr>
          <w:p>
            <w:pPr>
              <w:ind w:left="20"/>
              <w:spacing w:after="0"/>
              <w:rPr>
                <w:sz w:val="20"/>
                <w:szCs w:val="20"/>
                <w:color w:val="auto"/>
              </w:rPr>
            </w:pPr>
            <w:r>
              <w:rPr>
                <w:rFonts w:ascii="Arial" w:cs="Arial" w:eastAsia="Arial" w:hAnsi="Arial"/>
                <w:sz w:val="20"/>
                <w:szCs w:val="20"/>
                <w:color w:val="auto"/>
              </w:rPr>
              <w:t>Adjusted EBITDA</w:t>
            </w:r>
          </w:p>
        </w:tc>
        <w:tc>
          <w:tcPr>
            <w:tcW w:w="2420" w:type="dxa"/>
            <w:vAlign w:val="bottom"/>
            <w:gridSpan w:val="3"/>
          </w:tcPr>
          <w:p>
            <w:pPr>
              <w:jc w:val="center"/>
              <w:ind w:left="861"/>
              <w:spacing w:after="0"/>
              <w:rPr>
                <w:sz w:val="20"/>
                <w:szCs w:val="20"/>
                <w:color w:val="auto"/>
              </w:rPr>
            </w:pPr>
            <w:r>
              <w:rPr>
                <w:rFonts w:ascii="Arial" w:cs="Arial" w:eastAsia="Arial" w:hAnsi="Arial"/>
                <w:sz w:val="20"/>
                <w:szCs w:val="20"/>
                <w:color w:val="auto"/>
                <w:w w:val="99"/>
              </w:rPr>
              <w:t>$83.5</w:t>
            </w:r>
          </w:p>
        </w:tc>
        <w:tc>
          <w:tcPr>
            <w:tcW w:w="1440" w:type="dxa"/>
            <w:vAlign w:val="bottom"/>
            <w:gridSpan w:val="3"/>
          </w:tcPr>
          <w:p>
            <w:pPr>
              <w:jc w:val="center"/>
              <w:spacing w:after="0"/>
              <w:rPr>
                <w:sz w:val="20"/>
                <w:szCs w:val="20"/>
                <w:color w:val="auto"/>
              </w:rPr>
            </w:pPr>
            <w:r>
              <w:rPr>
                <w:rFonts w:ascii="Arial" w:cs="Arial" w:eastAsia="Arial" w:hAnsi="Arial"/>
                <w:sz w:val="20"/>
                <w:szCs w:val="20"/>
                <w:color w:val="auto"/>
                <w:w w:val="99"/>
              </w:rPr>
              <w:t>$51.4</w:t>
            </w:r>
          </w:p>
        </w:tc>
        <w:tc>
          <w:tcPr>
            <w:tcW w:w="1080" w:type="dxa"/>
            <w:vAlign w:val="bottom"/>
            <w:gridSpan w:val="2"/>
          </w:tcPr>
          <w:p>
            <w:pPr>
              <w:jc w:val="center"/>
              <w:ind w:left="301"/>
              <w:spacing w:after="0"/>
              <w:rPr>
                <w:sz w:val="20"/>
                <w:szCs w:val="20"/>
                <w:color w:val="auto"/>
              </w:rPr>
            </w:pPr>
            <w:r>
              <w:rPr>
                <w:rFonts w:ascii="Arial" w:cs="Arial" w:eastAsia="Arial" w:hAnsi="Arial"/>
                <w:sz w:val="20"/>
                <w:szCs w:val="20"/>
                <w:color w:val="auto"/>
                <w:w w:val="98"/>
              </w:rPr>
              <w:t>62.5%</w:t>
            </w:r>
          </w:p>
        </w:tc>
        <w:tc>
          <w:tcPr>
            <w:tcW w:w="400" w:type="dxa"/>
            <w:vAlign w:val="bottom"/>
          </w:tcPr>
          <w:p>
            <w:pPr>
              <w:spacing w:after="0"/>
              <w:rPr>
                <w:sz w:val="22"/>
                <w:szCs w:val="22"/>
                <w:color w:val="auto"/>
              </w:rPr>
            </w:pPr>
          </w:p>
        </w:tc>
      </w:tr>
      <w:tr>
        <w:trPr>
          <w:trHeight w:val="257"/>
        </w:trPr>
        <w:tc>
          <w:tcPr>
            <w:tcW w:w="4560" w:type="dxa"/>
            <w:vAlign w:val="bottom"/>
          </w:tcPr>
          <w:p>
            <w:pPr>
              <w:ind w:left="20"/>
              <w:spacing w:after="0"/>
              <w:rPr>
                <w:sz w:val="20"/>
                <w:szCs w:val="20"/>
                <w:color w:val="auto"/>
              </w:rPr>
            </w:pPr>
            <w:r>
              <w:rPr>
                <w:rFonts w:ascii="Arial" w:cs="Arial" w:eastAsia="Arial" w:hAnsi="Arial"/>
                <w:sz w:val="20"/>
                <w:szCs w:val="20"/>
                <w:color w:val="auto"/>
              </w:rPr>
              <w:t>GAAP Earnings Per Share – Diluted</w:t>
            </w:r>
          </w:p>
        </w:tc>
        <w:tc>
          <w:tcPr>
            <w:tcW w:w="2420" w:type="dxa"/>
            <w:vAlign w:val="bottom"/>
            <w:gridSpan w:val="3"/>
          </w:tcPr>
          <w:p>
            <w:pPr>
              <w:jc w:val="center"/>
              <w:ind w:left="861"/>
              <w:spacing w:after="0"/>
              <w:rPr>
                <w:sz w:val="20"/>
                <w:szCs w:val="20"/>
                <w:color w:val="auto"/>
              </w:rPr>
            </w:pPr>
            <w:r>
              <w:rPr>
                <w:rFonts w:ascii="Arial" w:cs="Arial" w:eastAsia="Arial" w:hAnsi="Arial"/>
                <w:sz w:val="20"/>
                <w:szCs w:val="20"/>
                <w:color w:val="auto"/>
                <w:w w:val="99"/>
              </w:rPr>
              <w:t>$0.69</w:t>
            </w:r>
          </w:p>
        </w:tc>
        <w:tc>
          <w:tcPr>
            <w:tcW w:w="1440" w:type="dxa"/>
            <w:vAlign w:val="bottom"/>
            <w:gridSpan w:val="3"/>
          </w:tcPr>
          <w:p>
            <w:pPr>
              <w:jc w:val="center"/>
              <w:spacing w:after="0"/>
              <w:rPr>
                <w:sz w:val="20"/>
                <w:szCs w:val="20"/>
                <w:color w:val="auto"/>
              </w:rPr>
            </w:pPr>
            <w:r>
              <w:rPr>
                <w:rFonts w:ascii="Arial" w:cs="Arial" w:eastAsia="Arial" w:hAnsi="Arial"/>
                <w:sz w:val="20"/>
                <w:szCs w:val="20"/>
                <w:color w:val="auto"/>
                <w:w w:val="95"/>
              </w:rPr>
              <w:t>$1.11</w:t>
            </w:r>
          </w:p>
        </w:tc>
        <w:tc>
          <w:tcPr>
            <w:tcW w:w="1480" w:type="dxa"/>
            <w:vAlign w:val="bottom"/>
            <w:gridSpan w:val="3"/>
          </w:tcPr>
          <w:p>
            <w:pPr>
              <w:jc w:val="center"/>
              <w:spacing w:after="0"/>
              <w:rPr>
                <w:sz w:val="20"/>
                <w:szCs w:val="20"/>
                <w:color w:val="auto"/>
              </w:rPr>
            </w:pPr>
            <w:r>
              <w:rPr>
                <w:rFonts w:ascii="Arial" w:cs="Arial" w:eastAsia="Arial" w:hAnsi="Arial"/>
                <w:sz w:val="20"/>
                <w:szCs w:val="20"/>
                <w:color w:val="auto"/>
                <w:w w:val="97"/>
              </w:rPr>
              <w:t>(37.8)%</w:t>
            </w:r>
          </w:p>
        </w:tc>
      </w:tr>
      <w:tr>
        <w:trPr>
          <w:trHeight w:val="261"/>
        </w:trPr>
        <w:tc>
          <w:tcPr>
            <w:tcW w:w="4560" w:type="dxa"/>
            <w:vAlign w:val="bottom"/>
          </w:tcPr>
          <w:p>
            <w:pPr>
              <w:ind w:left="20"/>
              <w:spacing w:after="0"/>
              <w:rPr>
                <w:sz w:val="20"/>
                <w:szCs w:val="20"/>
                <w:color w:val="auto"/>
              </w:rPr>
            </w:pPr>
            <w:r>
              <w:rPr>
                <w:rFonts w:ascii="Arial" w:cs="Arial" w:eastAsia="Arial" w:hAnsi="Arial"/>
                <w:sz w:val="20"/>
                <w:szCs w:val="20"/>
                <w:color w:val="auto"/>
              </w:rPr>
              <w:t>Adjusted EPS – Diluted</w:t>
            </w:r>
          </w:p>
        </w:tc>
        <w:tc>
          <w:tcPr>
            <w:tcW w:w="2420" w:type="dxa"/>
            <w:vAlign w:val="bottom"/>
            <w:gridSpan w:val="3"/>
          </w:tcPr>
          <w:p>
            <w:pPr>
              <w:jc w:val="center"/>
              <w:ind w:left="861"/>
              <w:spacing w:after="0"/>
              <w:rPr>
                <w:sz w:val="20"/>
                <w:szCs w:val="20"/>
                <w:color w:val="auto"/>
              </w:rPr>
            </w:pPr>
            <w:r>
              <w:rPr>
                <w:rFonts w:ascii="Arial" w:cs="Arial" w:eastAsia="Arial" w:hAnsi="Arial"/>
                <w:sz w:val="20"/>
                <w:szCs w:val="20"/>
                <w:color w:val="auto"/>
                <w:w w:val="99"/>
              </w:rPr>
              <w:t>$1.01</w:t>
            </w:r>
          </w:p>
        </w:tc>
        <w:tc>
          <w:tcPr>
            <w:tcW w:w="1440" w:type="dxa"/>
            <w:vAlign w:val="bottom"/>
            <w:gridSpan w:val="3"/>
          </w:tcPr>
          <w:p>
            <w:pPr>
              <w:jc w:val="center"/>
              <w:spacing w:after="0"/>
              <w:rPr>
                <w:sz w:val="20"/>
                <w:szCs w:val="20"/>
                <w:color w:val="auto"/>
              </w:rPr>
            </w:pPr>
            <w:r>
              <w:rPr>
                <w:rFonts w:ascii="Arial" w:cs="Arial" w:eastAsia="Arial" w:hAnsi="Arial"/>
                <w:sz w:val="20"/>
                <w:szCs w:val="20"/>
                <w:color w:val="auto"/>
                <w:w w:val="99"/>
              </w:rPr>
              <w:t>$1.14</w:t>
            </w:r>
          </w:p>
        </w:tc>
        <w:tc>
          <w:tcPr>
            <w:tcW w:w="1080" w:type="dxa"/>
            <w:vAlign w:val="bottom"/>
            <w:gridSpan w:val="2"/>
          </w:tcPr>
          <w:p>
            <w:pPr>
              <w:jc w:val="center"/>
              <w:ind w:left="301"/>
              <w:spacing w:after="0"/>
              <w:rPr>
                <w:sz w:val="20"/>
                <w:szCs w:val="20"/>
                <w:color w:val="auto"/>
              </w:rPr>
            </w:pPr>
            <w:r>
              <w:rPr>
                <w:rFonts w:ascii="Arial" w:cs="Arial" w:eastAsia="Arial" w:hAnsi="Arial"/>
                <w:sz w:val="20"/>
                <w:szCs w:val="20"/>
                <w:color w:val="auto"/>
                <w:w w:val="97"/>
              </w:rPr>
              <w:t>(11.4)%</w:t>
            </w:r>
          </w:p>
        </w:tc>
        <w:tc>
          <w:tcPr>
            <w:tcW w:w="400" w:type="dxa"/>
            <w:vAlign w:val="bottom"/>
          </w:tcPr>
          <w:p>
            <w:pPr>
              <w:spacing w:after="0"/>
              <w:rPr>
                <w:sz w:val="22"/>
                <w:szCs w:val="22"/>
                <w:color w:val="auto"/>
              </w:rPr>
            </w:pPr>
          </w:p>
        </w:tc>
      </w:tr>
    </w:tbl>
    <w:p>
      <w:pPr>
        <w:sectPr>
          <w:pgSz w:w="11900" w:h="16838" w:orient="portrait"/>
          <w:cols w:equalWidth="0" w:num="1">
            <w:col w:w="11240"/>
          </w:cols>
          <w:pgMar w:left="320" w:top="1440" w:right="339" w:bottom="1440" w:gutter="0" w:footer="0" w:header="0"/>
        </w:sectPr>
      </w:pPr>
    </w:p>
    <w:bookmarkStart w:id="4" w:name="page5"/>
    <w:bookmarkEnd w:id="4"/>
    <w:p>
      <w:pPr>
        <w:spacing w:after="0"/>
        <w:rPr>
          <w:sz w:val="20"/>
          <w:szCs w:val="20"/>
          <w:color w:val="auto"/>
        </w:rPr>
      </w:pPr>
      <w:r>
        <w:rPr>
          <w:rFonts w:ascii="Arial" w:cs="Arial" w:eastAsia="Arial" w:hAnsi="Arial"/>
          <w:sz w:val="20"/>
          <w:szCs w:val="20"/>
          <w:b w:val="1"/>
          <w:bCs w:val="1"/>
          <w:u w:val="single" w:color="auto"/>
          <w:color w:val="auto"/>
        </w:rPr>
        <w:drawing>
          <wp:anchor simplePos="0" relativeHeight="251657728" behindDoc="1" locked="0" layoutInCell="0" allowOverlap="1">
            <wp:simplePos x="0" y="0"/>
            <wp:positionH relativeFrom="page">
              <wp:posOffset>5205730</wp:posOffset>
            </wp:positionH>
            <wp:positionV relativeFrom="page">
              <wp:posOffset>243205</wp:posOffset>
            </wp:positionV>
            <wp:extent cx="2134235" cy="2743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2134235" cy="274320"/>
                    </a:xfrm>
                    <a:prstGeom prst="rect">
                      <a:avLst/>
                    </a:prstGeom>
                    <a:noFill/>
                  </pic:spPr>
                </pic:pic>
              </a:graphicData>
            </a:graphic>
          </wp:anchor>
        </w:drawing>
        <w:t>Net Sales</w:t>
      </w:r>
    </w:p>
    <w:p>
      <w:pPr>
        <w:spacing w:after="0" w:line="123" w:lineRule="exact"/>
        <w:rPr>
          <w:sz w:val="20"/>
          <w:szCs w:val="20"/>
          <w:color w:val="auto"/>
        </w:rPr>
      </w:pPr>
    </w:p>
    <w:p>
      <w:pPr>
        <w:ind w:left="660" w:hanging="328"/>
        <w:spacing w:after="0"/>
        <w:tabs>
          <w:tab w:leader="none" w:pos="660" w:val="left"/>
        </w:tabs>
        <w:numPr>
          <w:ilvl w:val="0"/>
          <w:numId w:val="3"/>
        </w:numPr>
        <w:rPr>
          <w:rFonts w:ascii="Arial" w:cs="Arial" w:eastAsia="Arial" w:hAnsi="Arial"/>
          <w:sz w:val="20"/>
          <w:szCs w:val="20"/>
          <w:color w:val="auto"/>
        </w:rPr>
      </w:pPr>
      <w:r>
        <w:rPr>
          <w:rFonts w:ascii="Arial" w:cs="Arial" w:eastAsia="Arial" w:hAnsi="Arial"/>
          <w:sz w:val="20"/>
          <w:szCs w:val="20"/>
          <w:color w:val="auto"/>
        </w:rPr>
        <w:t>Driven primarily by the OmniMax acquisition and organic growth of 3.1% in Residential and 3.0% in Agtech</w:t>
      </w:r>
    </w:p>
    <w:p>
      <w:pPr>
        <w:spacing w:after="0" w:line="105" w:lineRule="exact"/>
        <w:rPr>
          <w:rFonts w:ascii="Arial" w:cs="Arial" w:eastAsia="Arial" w:hAnsi="Arial"/>
          <w:sz w:val="20"/>
          <w:szCs w:val="20"/>
          <w:color w:val="auto"/>
        </w:rPr>
      </w:pPr>
    </w:p>
    <w:p>
      <w:pPr>
        <w:spacing w:after="0"/>
        <w:rPr>
          <w:rFonts w:ascii="Arial" w:cs="Arial" w:eastAsia="Arial" w:hAnsi="Arial"/>
          <w:sz w:val="20"/>
          <w:szCs w:val="20"/>
          <w:color w:val="auto"/>
        </w:rPr>
      </w:pPr>
      <w:r>
        <w:rPr>
          <w:rFonts w:ascii="Arial" w:cs="Arial" w:eastAsia="Arial" w:hAnsi="Arial"/>
          <w:sz w:val="20"/>
          <w:szCs w:val="20"/>
          <w:b w:val="1"/>
          <w:bCs w:val="1"/>
          <w:u w:val="single" w:color="auto"/>
          <w:color w:val="auto"/>
        </w:rPr>
        <w:t>GAAP Income / EPS</w:t>
      </w:r>
    </w:p>
    <w:p>
      <w:pPr>
        <w:spacing w:after="0" w:line="123" w:lineRule="exact"/>
        <w:rPr>
          <w:rFonts w:ascii="Arial" w:cs="Arial" w:eastAsia="Arial" w:hAnsi="Arial"/>
          <w:sz w:val="20"/>
          <w:szCs w:val="20"/>
          <w:color w:val="auto"/>
        </w:rPr>
      </w:pPr>
    </w:p>
    <w:p>
      <w:pPr>
        <w:ind w:left="660" w:hanging="328"/>
        <w:spacing w:after="0" w:line="271" w:lineRule="auto"/>
        <w:tabs>
          <w:tab w:leader="none" w:pos="662" w:val="left"/>
        </w:tabs>
        <w:numPr>
          <w:ilvl w:val="0"/>
          <w:numId w:val="3"/>
        </w:numPr>
        <w:rPr>
          <w:rFonts w:ascii="Arial" w:cs="Arial" w:eastAsia="Arial" w:hAnsi="Arial"/>
          <w:sz w:val="20"/>
          <w:szCs w:val="20"/>
          <w:color w:val="auto"/>
        </w:rPr>
      </w:pPr>
      <w:r>
        <w:rPr>
          <w:rFonts w:ascii="Arial" w:cs="Arial" w:eastAsia="Arial" w:hAnsi="Arial"/>
          <w:sz w:val="20"/>
          <w:szCs w:val="20"/>
          <w:color w:val="auto"/>
        </w:rPr>
        <w:t>Includes pretax expenses of $9.9 million, or $0.32 per share, primarily related to OmniMax acquisition integration and restructuring costs</w:t>
      </w:r>
    </w:p>
    <w:p>
      <w:pPr>
        <w:spacing w:after="0" w:line="59"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Adjusted Net Income / EPS</w:t>
      </w:r>
    </w:p>
    <w:p>
      <w:pPr>
        <w:spacing w:after="0" w:line="123" w:lineRule="exact"/>
        <w:rPr>
          <w:sz w:val="20"/>
          <w:szCs w:val="20"/>
          <w:color w:val="auto"/>
        </w:rPr>
      </w:pPr>
    </w:p>
    <w:p>
      <w:pPr>
        <w:ind w:left="660" w:hanging="328"/>
        <w:spacing w:after="0"/>
        <w:tabs>
          <w:tab w:leader="none" w:pos="660" w:val="left"/>
        </w:tabs>
        <w:numPr>
          <w:ilvl w:val="0"/>
          <w:numId w:val="4"/>
        </w:numPr>
        <w:rPr>
          <w:rFonts w:ascii="Arial" w:cs="Arial" w:eastAsia="Arial" w:hAnsi="Arial"/>
          <w:sz w:val="20"/>
          <w:szCs w:val="20"/>
          <w:color w:val="auto"/>
        </w:rPr>
      </w:pPr>
      <w:r>
        <w:rPr>
          <w:rFonts w:ascii="Arial" w:cs="Arial" w:eastAsia="Arial" w:hAnsi="Arial"/>
          <w:sz w:val="20"/>
          <w:szCs w:val="20"/>
          <w:color w:val="auto"/>
        </w:rPr>
        <w:t>$30.1 million, or $1.01 per share, including the interest expense impact of $21.5 million</w:t>
      </w:r>
    </w:p>
    <w:p>
      <w:pPr>
        <w:spacing w:after="0" w:line="107" w:lineRule="exact"/>
        <w:rPr>
          <w:rFonts w:ascii="Arial" w:cs="Arial" w:eastAsia="Arial" w:hAnsi="Arial"/>
          <w:sz w:val="20"/>
          <w:szCs w:val="20"/>
          <w:color w:val="auto"/>
        </w:rPr>
      </w:pPr>
    </w:p>
    <w:p>
      <w:pPr>
        <w:ind w:left="660" w:hanging="328"/>
        <w:spacing w:after="0" w:line="286" w:lineRule="auto"/>
        <w:tabs>
          <w:tab w:leader="none" w:pos="662" w:val="left"/>
        </w:tabs>
        <w:numPr>
          <w:ilvl w:val="0"/>
          <w:numId w:val="4"/>
        </w:numPr>
        <w:rPr>
          <w:rFonts w:ascii="Arial" w:cs="Arial" w:eastAsia="Arial" w:hAnsi="Arial"/>
          <w:sz w:val="20"/>
          <w:szCs w:val="20"/>
          <w:color w:val="auto"/>
        </w:rPr>
      </w:pPr>
      <w:r>
        <w:rPr>
          <w:rFonts w:ascii="Arial" w:cs="Arial" w:eastAsia="Arial" w:hAnsi="Arial"/>
          <w:sz w:val="20"/>
          <w:szCs w:val="20"/>
          <w:color w:val="auto"/>
        </w:rPr>
        <w:t>Margin impacted by volume, incremental inflation in steel, fuel, and freight partially offset by cost reduction initiatives and participation gains</w:t>
      </w:r>
    </w:p>
    <w:p>
      <w:pPr>
        <w:spacing w:after="0" w:line="32" w:lineRule="exact"/>
        <w:rPr>
          <w:sz w:val="20"/>
          <w:szCs w:val="20"/>
          <w:color w:val="auto"/>
        </w:rPr>
      </w:pPr>
    </w:p>
    <w:p>
      <w:pPr>
        <w:spacing w:after="0"/>
        <w:rPr>
          <w:sz w:val="20"/>
          <w:szCs w:val="20"/>
          <w:color w:val="auto"/>
        </w:rPr>
      </w:pPr>
      <w:r>
        <w:rPr>
          <w:rFonts w:ascii="Arial" w:cs="Arial" w:eastAsia="Arial" w:hAnsi="Arial"/>
          <w:sz w:val="20"/>
          <w:szCs w:val="20"/>
          <w:color w:val="auto"/>
        </w:rPr>
        <w:t>Adjusted measures are further described in the appended reconciliation of adjusted financial measures.</w:t>
      </w:r>
    </w:p>
    <w:p>
      <w:pPr>
        <w:spacing w:after="0" w:line="26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Third Quarter Segment Results</w:t>
      </w:r>
    </w:p>
    <w:p>
      <w:pPr>
        <w:spacing w:after="0" w:line="24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u w:val="single" w:color="auto"/>
          <w:color w:val="auto"/>
        </w:rPr>
        <w:t>Residential</w:t>
      </w:r>
    </w:p>
    <w:p>
      <w:pPr>
        <w:spacing w:after="0" w:line="67" w:lineRule="exact"/>
        <w:rPr>
          <w:sz w:val="20"/>
          <w:szCs w:val="20"/>
          <w:color w:val="auto"/>
        </w:rPr>
      </w:pPr>
    </w:p>
    <w:p>
      <w:pPr>
        <w:ind w:left="100"/>
        <w:spacing w:after="0"/>
        <w:rPr>
          <w:sz w:val="20"/>
          <w:szCs w:val="20"/>
          <w:color w:val="auto"/>
        </w:rPr>
      </w:pPr>
      <w:r>
        <w:rPr>
          <w:rFonts w:ascii="Arial" w:cs="Arial" w:eastAsia="Arial" w:hAnsi="Arial"/>
          <w:sz w:val="20"/>
          <w:szCs w:val="20"/>
          <w:i w:val="1"/>
          <w:iCs w:val="1"/>
          <w:color w:val="auto"/>
        </w:rPr>
        <w:t xml:space="preserve">($Millions) </w:t>
      </w:r>
      <w:r>
        <w:rPr>
          <w:rFonts w:ascii="Arial" w:cs="Arial" w:eastAsia="Arial" w:hAnsi="Arial"/>
          <w:sz w:val="20"/>
          <w:szCs w:val="20"/>
          <w:color w:val="auto"/>
        </w:rPr>
        <w:t>Three Months Ended September 30,</w:t>
      </w:r>
    </w:p>
    <w:p>
      <w:pPr>
        <w:spacing w:after="0" w:line="42" w:lineRule="exact"/>
        <w:rPr>
          <w:sz w:val="20"/>
          <w:szCs w:val="20"/>
          <w:color w:val="auto"/>
        </w:rPr>
      </w:pPr>
    </w:p>
    <w:tbl>
      <w:tblPr>
        <w:tblLayout w:type="fixed"/>
        <w:tblInd w:w="80" w:type="dxa"/>
        <w:tblCellMar>
          <w:top w:w="0" w:type="dxa"/>
          <w:left w:w="0" w:type="dxa"/>
          <w:bottom w:w="0" w:type="dxa"/>
          <w:right w:w="0" w:type="dxa"/>
        </w:tblCellMar>
      </w:tblPr>
      <w:tr>
        <w:trPr>
          <w:trHeight w:val="203"/>
        </w:trPr>
        <w:tc>
          <w:tcPr>
            <w:tcW w:w="2020" w:type="dxa"/>
            <w:vAlign w:val="bottom"/>
            <w:tcBorders>
              <w:top w:val="single" w:sz="8" w:color="auto"/>
            </w:tcBorders>
          </w:tcPr>
          <w:p>
            <w:pPr>
              <w:spacing w:after="0"/>
              <w:rPr>
                <w:sz w:val="17"/>
                <w:szCs w:val="17"/>
                <w:color w:val="auto"/>
              </w:rPr>
            </w:pPr>
          </w:p>
        </w:tc>
        <w:tc>
          <w:tcPr>
            <w:tcW w:w="1640" w:type="dxa"/>
            <w:vAlign w:val="bottom"/>
            <w:tcBorders>
              <w:top w:val="single" w:sz="8" w:color="auto"/>
            </w:tcBorders>
            <w:vMerge w:val="restart"/>
          </w:tcPr>
          <w:p>
            <w:pPr>
              <w:jc w:val="center"/>
              <w:ind w:left="161"/>
              <w:spacing w:after="0"/>
              <w:rPr>
                <w:sz w:val="20"/>
                <w:szCs w:val="20"/>
                <w:color w:val="auto"/>
              </w:rPr>
            </w:pPr>
            <w:r>
              <w:rPr>
                <w:rFonts w:ascii="Arial" w:cs="Arial" w:eastAsia="Arial" w:hAnsi="Arial"/>
                <w:sz w:val="20"/>
                <w:szCs w:val="20"/>
                <w:b w:val="1"/>
                <w:bCs w:val="1"/>
                <w:color w:val="auto"/>
                <w:w w:val="98"/>
              </w:rPr>
              <w:t>2026 GAAP</w:t>
            </w:r>
          </w:p>
        </w:tc>
        <w:tc>
          <w:tcPr>
            <w:tcW w:w="1360" w:type="dxa"/>
            <w:vAlign w:val="bottom"/>
            <w:tcBorders>
              <w:top w:val="single" w:sz="8" w:color="auto"/>
            </w:tcBorders>
            <w:vMerge w:val="restart"/>
          </w:tcPr>
          <w:p>
            <w:pPr>
              <w:jc w:val="center"/>
              <w:spacing w:after="0"/>
              <w:rPr>
                <w:sz w:val="20"/>
                <w:szCs w:val="20"/>
                <w:color w:val="auto"/>
              </w:rPr>
            </w:pPr>
            <w:r>
              <w:rPr>
                <w:rFonts w:ascii="Arial" w:cs="Arial" w:eastAsia="Arial" w:hAnsi="Arial"/>
                <w:sz w:val="20"/>
                <w:szCs w:val="20"/>
                <w:b w:val="1"/>
                <w:bCs w:val="1"/>
                <w:color w:val="auto"/>
                <w:w w:val="98"/>
              </w:rPr>
              <w:t>2025 GAAP</w:t>
            </w:r>
          </w:p>
        </w:tc>
        <w:tc>
          <w:tcPr>
            <w:tcW w:w="1180" w:type="dxa"/>
            <w:vAlign w:val="bottom"/>
            <w:tcBorders>
              <w:top w:val="single" w:sz="8" w:color="auto"/>
            </w:tcBorders>
            <w:vMerge w:val="restart"/>
          </w:tcPr>
          <w:p>
            <w:pPr>
              <w:jc w:val="center"/>
              <w:spacing w:after="0"/>
              <w:rPr>
                <w:sz w:val="20"/>
                <w:szCs w:val="20"/>
                <w:color w:val="auto"/>
              </w:rPr>
            </w:pPr>
            <w:r>
              <w:rPr>
                <w:rFonts w:ascii="Arial" w:cs="Arial" w:eastAsia="Arial" w:hAnsi="Arial"/>
                <w:sz w:val="20"/>
                <w:szCs w:val="20"/>
                <w:color w:val="auto"/>
                <w:w w:val="97"/>
              </w:rPr>
              <w:t>Change</w:t>
            </w:r>
          </w:p>
        </w:tc>
        <w:tc>
          <w:tcPr>
            <w:tcW w:w="1500" w:type="dxa"/>
            <w:vAlign w:val="bottom"/>
            <w:tcBorders>
              <w:top w:val="single" w:sz="8" w:color="auto"/>
            </w:tcBorders>
            <w:vMerge w:val="restart"/>
          </w:tcPr>
          <w:p>
            <w:pPr>
              <w:ind w:left="40"/>
              <w:spacing w:after="0"/>
              <w:rPr>
                <w:sz w:val="20"/>
                <w:szCs w:val="20"/>
                <w:color w:val="auto"/>
              </w:rPr>
            </w:pPr>
            <w:r>
              <w:rPr>
                <w:rFonts w:ascii="Arial" w:cs="Arial" w:eastAsia="Arial" w:hAnsi="Arial"/>
                <w:sz w:val="20"/>
                <w:szCs w:val="20"/>
                <w:b w:val="1"/>
                <w:bCs w:val="1"/>
                <w:color w:val="auto"/>
              </w:rPr>
              <w:t>2026 Adjusted</w:t>
            </w:r>
          </w:p>
        </w:tc>
        <w:tc>
          <w:tcPr>
            <w:tcW w:w="1240" w:type="dxa"/>
            <w:vAlign w:val="bottom"/>
            <w:tcBorders>
              <w:top w:val="single" w:sz="8" w:color="auto"/>
            </w:tcBorders>
          </w:tcPr>
          <w:p>
            <w:pPr>
              <w:jc w:val="center"/>
              <w:spacing w:after="0" w:line="203" w:lineRule="exact"/>
              <w:rPr>
                <w:sz w:val="20"/>
                <w:szCs w:val="20"/>
                <w:color w:val="auto"/>
              </w:rPr>
            </w:pPr>
            <w:r>
              <w:rPr>
                <w:rFonts w:ascii="Arial" w:cs="Arial" w:eastAsia="Arial" w:hAnsi="Arial"/>
                <w:sz w:val="20"/>
                <w:szCs w:val="20"/>
                <w:b w:val="1"/>
                <w:bCs w:val="1"/>
                <w:color w:val="auto"/>
                <w:w w:val="98"/>
              </w:rPr>
              <w:t>2025</w:t>
            </w:r>
          </w:p>
        </w:tc>
        <w:tc>
          <w:tcPr>
            <w:tcW w:w="1320" w:type="dxa"/>
            <w:vAlign w:val="bottom"/>
            <w:tcBorders>
              <w:top w:val="single" w:sz="8" w:color="auto"/>
            </w:tcBorders>
            <w:vMerge w:val="restart"/>
          </w:tcPr>
          <w:p>
            <w:pPr>
              <w:jc w:val="center"/>
              <w:spacing w:after="0"/>
              <w:rPr>
                <w:sz w:val="20"/>
                <w:szCs w:val="20"/>
                <w:color w:val="auto"/>
              </w:rPr>
            </w:pPr>
            <w:r>
              <w:rPr>
                <w:rFonts w:ascii="Arial" w:cs="Arial" w:eastAsia="Arial" w:hAnsi="Arial"/>
                <w:sz w:val="20"/>
                <w:szCs w:val="20"/>
                <w:color w:val="auto"/>
                <w:w w:val="99"/>
              </w:rPr>
              <w:t>Change</w:t>
            </w:r>
          </w:p>
        </w:tc>
        <w:tc>
          <w:tcPr>
            <w:tcW w:w="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202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vMerge w:val="continue"/>
          </w:tcPr>
          <w:p>
            <w:pPr>
              <w:spacing w:after="0"/>
              <w:rPr>
                <w:sz w:val="22"/>
                <w:szCs w:val="22"/>
                <w:color w:val="auto"/>
              </w:rPr>
            </w:pPr>
          </w:p>
        </w:tc>
        <w:tc>
          <w:tcPr>
            <w:tcW w:w="1360" w:type="dxa"/>
            <w:vAlign w:val="bottom"/>
            <w:tcBorders>
              <w:bottom w:val="single" w:sz="8" w:color="auto"/>
            </w:tcBorders>
            <w:vMerge w:val="continue"/>
          </w:tcPr>
          <w:p>
            <w:pPr>
              <w:spacing w:after="0"/>
              <w:rPr>
                <w:sz w:val="22"/>
                <w:szCs w:val="22"/>
                <w:color w:val="auto"/>
              </w:rPr>
            </w:pPr>
          </w:p>
        </w:tc>
        <w:tc>
          <w:tcPr>
            <w:tcW w:w="1180" w:type="dxa"/>
            <w:vAlign w:val="bottom"/>
            <w:tcBorders>
              <w:bottom w:val="single" w:sz="8" w:color="auto"/>
            </w:tcBorders>
            <w:vMerge w:val="continue"/>
          </w:tcPr>
          <w:p>
            <w:pPr>
              <w:spacing w:after="0"/>
              <w:rPr>
                <w:sz w:val="22"/>
                <w:szCs w:val="22"/>
                <w:color w:val="auto"/>
              </w:rPr>
            </w:pPr>
          </w:p>
        </w:tc>
        <w:tc>
          <w:tcPr>
            <w:tcW w:w="1500" w:type="dxa"/>
            <w:vAlign w:val="bottom"/>
            <w:tcBorders>
              <w:bottom w:val="single" w:sz="8" w:color="auto"/>
            </w:tcBorders>
            <w:vMerge w:val="continue"/>
          </w:tcPr>
          <w:p>
            <w:pPr>
              <w:spacing w:after="0"/>
              <w:rPr>
                <w:sz w:val="22"/>
                <w:szCs w:val="22"/>
                <w:color w:val="auto"/>
              </w:rPr>
            </w:pPr>
          </w:p>
        </w:tc>
        <w:tc>
          <w:tcPr>
            <w:tcW w:w="1240" w:type="dxa"/>
            <w:vAlign w:val="bottom"/>
            <w:tcBorders>
              <w:bottom w:val="single" w:sz="8" w:color="auto"/>
            </w:tcBorders>
          </w:tcPr>
          <w:p>
            <w:pPr>
              <w:ind w:left="140"/>
              <w:spacing w:after="0"/>
              <w:rPr>
                <w:sz w:val="20"/>
                <w:szCs w:val="20"/>
                <w:color w:val="auto"/>
              </w:rPr>
            </w:pPr>
            <w:r>
              <w:rPr>
                <w:rFonts w:ascii="Arial" w:cs="Arial" w:eastAsia="Arial" w:hAnsi="Arial"/>
                <w:sz w:val="20"/>
                <w:szCs w:val="20"/>
                <w:b w:val="1"/>
                <w:bCs w:val="1"/>
                <w:color w:val="auto"/>
              </w:rPr>
              <w:t>Adjusted</w:t>
            </w:r>
          </w:p>
        </w:tc>
        <w:tc>
          <w:tcPr>
            <w:tcW w:w="1320" w:type="dxa"/>
            <w:vAlign w:val="bottom"/>
            <w:tcBorders>
              <w:bottom w:val="single" w:sz="8" w:color="auto"/>
            </w:tcBorders>
            <w:vMerge w:val="continue"/>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2"/>
        </w:trPr>
        <w:tc>
          <w:tcPr>
            <w:tcW w:w="2020" w:type="dxa"/>
            <w:vAlign w:val="bottom"/>
          </w:tcPr>
          <w:p>
            <w:pPr>
              <w:ind w:left="20"/>
              <w:spacing w:after="0"/>
              <w:rPr>
                <w:sz w:val="20"/>
                <w:szCs w:val="20"/>
                <w:color w:val="auto"/>
              </w:rPr>
            </w:pPr>
            <w:r>
              <w:rPr>
                <w:rFonts w:ascii="Arial" w:cs="Arial" w:eastAsia="Arial" w:hAnsi="Arial"/>
                <w:sz w:val="20"/>
                <w:szCs w:val="20"/>
                <w:color w:val="auto"/>
              </w:rPr>
              <w:t>Net Sales</w:t>
            </w:r>
          </w:p>
        </w:tc>
        <w:tc>
          <w:tcPr>
            <w:tcW w:w="1640" w:type="dxa"/>
            <w:vAlign w:val="bottom"/>
          </w:tcPr>
          <w:p>
            <w:pPr>
              <w:jc w:val="center"/>
              <w:ind w:left="161"/>
              <w:spacing w:after="0"/>
              <w:rPr>
                <w:sz w:val="20"/>
                <w:szCs w:val="20"/>
                <w:color w:val="auto"/>
              </w:rPr>
            </w:pPr>
            <w:r>
              <w:rPr>
                <w:rFonts w:ascii="Arial" w:cs="Arial" w:eastAsia="Arial" w:hAnsi="Arial"/>
                <w:sz w:val="20"/>
                <w:szCs w:val="20"/>
                <w:color w:val="auto"/>
              </w:rPr>
              <w:t>$399.0</w:t>
            </w:r>
          </w:p>
        </w:tc>
        <w:tc>
          <w:tcPr>
            <w:tcW w:w="1360" w:type="dxa"/>
            <w:vAlign w:val="bottom"/>
          </w:tcPr>
          <w:p>
            <w:pPr>
              <w:jc w:val="center"/>
              <w:spacing w:after="0"/>
              <w:rPr>
                <w:sz w:val="20"/>
                <w:szCs w:val="20"/>
                <w:color w:val="auto"/>
              </w:rPr>
            </w:pPr>
            <w:r>
              <w:rPr>
                <w:rFonts w:ascii="Arial" w:cs="Arial" w:eastAsia="Arial" w:hAnsi="Arial"/>
                <w:sz w:val="20"/>
                <w:szCs w:val="20"/>
                <w:color w:val="auto"/>
                <w:w w:val="98"/>
              </w:rPr>
              <w:t>$230.3</w:t>
            </w:r>
          </w:p>
        </w:tc>
        <w:tc>
          <w:tcPr>
            <w:tcW w:w="11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8"/>
              </w:rPr>
              <w:t>73.3%</w:t>
            </w:r>
          </w:p>
        </w:tc>
        <w:tc>
          <w:tcPr>
            <w:tcW w:w="1500" w:type="dxa"/>
            <w:vAlign w:val="bottom"/>
          </w:tcPr>
          <w:p>
            <w:pPr>
              <w:jc w:val="center"/>
              <w:spacing w:after="0"/>
              <w:rPr>
                <w:sz w:val="20"/>
                <w:szCs w:val="20"/>
                <w:color w:val="auto"/>
              </w:rPr>
            </w:pPr>
            <w:r>
              <w:rPr>
                <w:rFonts w:ascii="Arial" w:cs="Arial" w:eastAsia="Arial" w:hAnsi="Arial"/>
                <w:sz w:val="20"/>
                <w:szCs w:val="20"/>
                <w:color w:val="auto"/>
              </w:rPr>
              <w:t>$399.0</w:t>
            </w:r>
          </w:p>
        </w:tc>
        <w:tc>
          <w:tcPr>
            <w:tcW w:w="1240" w:type="dxa"/>
            <w:vAlign w:val="bottom"/>
          </w:tcPr>
          <w:p>
            <w:pPr>
              <w:jc w:val="center"/>
              <w:ind w:right="1"/>
              <w:spacing w:after="0"/>
              <w:rPr>
                <w:sz w:val="20"/>
                <w:szCs w:val="20"/>
                <w:color w:val="auto"/>
              </w:rPr>
            </w:pPr>
            <w:r>
              <w:rPr>
                <w:rFonts w:ascii="Arial" w:cs="Arial" w:eastAsia="Arial" w:hAnsi="Arial"/>
                <w:sz w:val="20"/>
                <w:szCs w:val="20"/>
                <w:color w:val="auto"/>
              </w:rPr>
              <w:t>$230.3</w:t>
            </w:r>
          </w:p>
        </w:tc>
        <w:tc>
          <w:tcPr>
            <w:tcW w:w="1320" w:type="dxa"/>
            <w:vAlign w:val="bottom"/>
          </w:tcPr>
          <w:p>
            <w:pPr>
              <w:jc w:val="center"/>
              <w:spacing w:after="0"/>
              <w:rPr>
                <w:sz w:val="20"/>
                <w:szCs w:val="20"/>
                <w:color w:val="auto"/>
              </w:rPr>
            </w:pPr>
            <w:r>
              <w:rPr>
                <w:rFonts w:ascii="Arial" w:cs="Arial" w:eastAsia="Arial" w:hAnsi="Arial"/>
                <w:sz w:val="20"/>
                <w:szCs w:val="20"/>
                <w:color w:val="auto"/>
                <w:w w:val="98"/>
              </w:rPr>
              <w:t>73.3%</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2020" w:type="dxa"/>
            <w:vAlign w:val="bottom"/>
          </w:tcPr>
          <w:p>
            <w:pPr>
              <w:ind w:left="20"/>
              <w:spacing w:after="0"/>
              <w:rPr>
                <w:sz w:val="20"/>
                <w:szCs w:val="20"/>
                <w:color w:val="auto"/>
              </w:rPr>
            </w:pPr>
            <w:r>
              <w:rPr>
                <w:rFonts w:ascii="Arial" w:cs="Arial" w:eastAsia="Arial" w:hAnsi="Arial"/>
                <w:sz w:val="20"/>
                <w:szCs w:val="20"/>
                <w:color w:val="auto"/>
              </w:rPr>
              <w:t>Operating Income</w:t>
            </w:r>
          </w:p>
        </w:tc>
        <w:tc>
          <w:tcPr>
            <w:tcW w:w="1640" w:type="dxa"/>
            <w:vAlign w:val="bottom"/>
          </w:tcPr>
          <w:p>
            <w:pPr>
              <w:jc w:val="center"/>
              <w:ind w:left="161"/>
              <w:spacing w:after="0"/>
              <w:rPr>
                <w:sz w:val="20"/>
                <w:szCs w:val="20"/>
                <w:color w:val="auto"/>
              </w:rPr>
            </w:pPr>
            <w:r>
              <w:rPr>
                <w:rFonts w:ascii="Arial" w:cs="Arial" w:eastAsia="Arial" w:hAnsi="Arial"/>
                <w:sz w:val="20"/>
                <w:szCs w:val="20"/>
                <w:color w:val="auto"/>
                <w:w w:val="99"/>
              </w:rPr>
              <w:t>$49.3</w:t>
            </w:r>
          </w:p>
        </w:tc>
        <w:tc>
          <w:tcPr>
            <w:tcW w:w="1360" w:type="dxa"/>
            <w:vAlign w:val="bottom"/>
          </w:tcPr>
          <w:p>
            <w:pPr>
              <w:jc w:val="center"/>
              <w:spacing w:after="0"/>
              <w:rPr>
                <w:sz w:val="20"/>
                <w:szCs w:val="20"/>
                <w:color w:val="auto"/>
              </w:rPr>
            </w:pPr>
            <w:r>
              <w:rPr>
                <w:rFonts w:ascii="Arial" w:cs="Arial" w:eastAsia="Arial" w:hAnsi="Arial"/>
                <w:sz w:val="20"/>
                <w:szCs w:val="20"/>
                <w:color w:val="auto"/>
                <w:w w:val="99"/>
              </w:rPr>
              <w:t>$40.4</w:t>
            </w:r>
          </w:p>
        </w:tc>
        <w:tc>
          <w:tcPr>
            <w:tcW w:w="11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8"/>
              </w:rPr>
              <w:t>22.0%</w:t>
            </w:r>
          </w:p>
        </w:tc>
        <w:tc>
          <w:tcPr>
            <w:tcW w:w="1500" w:type="dxa"/>
            <w:vAlign w:val="bottom"/>
          </w:tcPr>
          <w:p>
            <w:pPr>
              <w:jc w:val="center"/>
              <w:spacing w:after="0"/>
              <w:rPr>
                <w:sz w:val="20"/>
                <w:szCs w:val="20"/>
                <w:color w:val="auto"/>
              </w:rPr>
            </w:pPr>
            <w:r>
              <w:rPr>
                <w:rFonts w:ascii="Arial" w:cs="Arial" w:eastAsia="Arial" w:hAnsi="Arial"/>
                <w:sz w:val="20"/>
                <w:szCs w:val="20"/>
                <w:color w:val="auto"/>
                <w:w w:val="99"/>
              </w:rPr>
              <w:t>$55.6</w:t>
            </w:r>
          </w:p>
        </w:tc>
        <w:tc>
          <w:tcPr>
            <w:tcW w:w="1240" w:type="dxa"/>
            <w:vAlign w:val="bottom"/>
          </w:tcPr>
          <w:p>
            <w:pPr>
              <w:jc w:val="center"/>
              <w:ind w:right="1"/>
              <w:spacing w:after="0"/>
              <w:rPr>
                <w:sz w:val="20"/>
                <w:szCs w:val="20"/>
                <w:color w:val="auto"/>
              </w:rPr>
            </w:pPr>
            <w:r>
              <w:rPr>
                <w:rFonts w:ascii="Arial" w:cs="Arial" w:eastAsia="Arial" w:hAnsi="Arial"/>
                <w:sz w:val="20"/>
                <w:szCs w:val="20"/>
                <w:color w:val="auto"/>
                <w:w w:val="99"/>
              </w:rPr>
              <w:t>$41.9</w:t>
            </w:r>
          </w:p>
        </w:tc>
        <w:tc>
          <w:tcPr>
            <w:tcW w:w="1320" w:type="dxa"/>
            <w:vAlign w:val="bottom"/>
          </w:tcPr>
          <w:p>
            <w:pPr>
              <w:jc w:val="center"/>
              <w:spacing w:after="0"/>
              <w:rPr>
                <w:sz w:val="20"/>
                <w:szCs w:val="20"/>
                <w:color w:val="auto"/>
              </w:rPr>
            </w:pPr>
            <w:r>
              <w:rPr>
                <w:rFonts w:ascii="Arial" w:cs="Arial" w:eastAsia="Arial" w:hAnsi="Arial"/>
                <w:sz w:val="20"/>
                <w:szCs w:val="20"/>
                <w:color w:val="auto"/>
                <w:w w:val="98"/>
              </w:rPr>
              <w:t>32.7%</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2020" w:type="dxa"/>
            <w:vAlign w:val="bottom"/>
          </w:tcPr>
          <w:p>
            <w:pPr>
              <w:ind w:left="20"/>
              <w:spacing w:after="0"/>
              <w:rPr>
                <w:sz w:val="20"/>
                <w:szCs w:val="20"/>
                <w:color w:val="auto"/>
              </w:rPr>
            </w:pPr>
            <w:r>
              <w:rPr>
                <w:rFonts w:ascii="Arial" w:cs="Arial" w:eastAsia="Arial" w:hAnsi="Arial"/>
                <w:sz w:val="20"/>
                <w:szCs w:val="20"/>
                <w:color w:val="auto"/>
              </w:rPr>
              <w:t>Operating Margin</w:t>
            </w:r>
          </w:p>
        </w:tc>
        <w:tc>
          <w:tcPr>
            <w:tcW w:w="1640" w:type="dxa"/>
            <w:vAlign w:val="bottom"/>
          </w:tcPr>
          <w:p>
            <w:pPr>
              <w:jc w:val="center"/>
              <w:ind w:left="181"/>
              <w:spacing w:after="0"/>
              <w:rPr>
                <w:sz w:val="20"/>
                <w:szCs w:val="20"/>
                <w:color w:val="auto"/>
              </w:rPr>
            </w:pPr>
            <w:r>
              <w:rPr>
                <w:rFonts w:ascii="Arial" w:cs="Arial" w:eastAsia="Arial" w:hAnsi="Arial"/>
                <w:sz w:val="20"/>
                <w:szCs w:val="20"/>
                <w:color w:val="auto"/>
                <w:w w:val="98"/>
              </w:rPr>
              <w:t>12.4%</w:t>
            </w:r>
          </w:p>
        </w:tc>
        <w:tc>
          <w:tcPr>
            <w:tcW w:w="1360" w:type="dxa"/>
            <w:vAlign w:val="bottom"/>
          </w:tcPr>
          <w:p>
            <w:pPr>
              <w:jc w:val="center"/>
              <w:spacing w:after="0"/>
              <w:rPr>
                <w:sz w:val="20"/>
                <w:szCs w:val="20"/>
                <w:color w:val="auto"/>
              </w:rPr>
            </w:pPr>
            <w:r>
              <w:rPr>
                <w:rFonts w:ascii="Arial" w:cs="Arial" w:eastAsia="Arial" w:hAnsi="Arial"/>
                <w:sz w:val="20"/>
                <w:szCs w:val="20"/>
                <w:color w:val="auto"/>
                <w:w w:val="98"/>
              </w:rPr>
              <w:t>17.6%</w:t>
            </w:r>
          </w:p>
        </w:tc>
        <w:tc>
          <w:tcPr>
            <w:tcW w:w="11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9"/>
              </w:rPr>
              <w:t>(520) bps</w:t>
            </w:r>
          </w:p>
        </w:tc>
        <w:tc>
          <w:tcPr>
            <w:tcW w:w="1500" w:type="dxa"/>
            <w:vAlign w:val="bottom"/>
          </w:tcPr>
          <w:p>
            <w:pPr>
              <w:jc w:val="center"/>
              <w:ind w:right="1"/>
              <w:spacing w:after="0"/>
              <w:rPr>
                <w:sz w:val="20"/>
                <w:szCs w:val="20"/>
                <w:color w:val="auto"/>
              </w:rPr>
            </w:pPr>
            <w:r>
              <w:rPr>
                <w:rFonts w:ascii="Arial" w:cs="Arial" w:eastAsia="Arial" w:hAnsi="Arial"/>
                <w:sz w:val="20"/>
                <w:szCs w:val="20"/>
                <w:color w:val="auto"/>
                <w:w w:val="98"/>
              </w:rPr>
              <w:t>13.9%</w:t>
            </w:r>
          </w:p>
        </w:tc>
        <w:tc>
          <w:tcPr>
            <w:tcW w:w="1240" w:type="dxa"/>
            <w:vAlign w:val="bottom"/>
          </w:tcPr>
          <w:p>
            <w:pPr>
              <w:jc w:val="center"/>
              <w:spacing w:after="0"/>
              <w:rPr>
                <w:sz w:val="20"/>
                <w:szCs w:val="20"/>
                <w:color w:val="auto"/>
              </w:rPr>
            </w:pPr>
            <w:r>
              <w:rPr>
                <w:rFonts w:ascii="Arial" w:cs="Arial" w:eastAsia="Arial" w:hAnsi="Arial"/>
                <w:sz w:val="20"/>
                <w:szCs w:val="20"/>
                <w:color w:val="auto"/>
                <w:w w:val="98"/>
              </w:rPr>
              <w:t>18.2%</w:t>
            </w:r>
          </w:p>
        </w:tc>
        <w:tc>
          <w:tcPr>
            <w:tcW w:w="1320" w:type="dxa"/>
            <w:vAlign w:val="bottom"/>
          </w:tcPr>
          <w:p>
            <w:pPr>
              <w:jc w:val="center"/>
              <w:spacing w:after="0"/>
              <w:rPr>
                <w:sz w:val="20"/>
                <w:szCs w:val="20"/>
                <w:color w:val="auto"/>
              </w:rPr>
            </w:pPr>
            <w:r>
              <w:rPr>
                <w:rFonts w:ascii="Arial" w:cs="Arial" w:eastAsia="Arial" w:hAnsi="Arial"/>
                <w:sz w:val="20"/>
                <w:szCs w:val="20"/>
                <w:color w:val="auto"/>
                <w:w w:val="99"/>
              </w:rPr>
              <w:t>(430) bps</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020" w:type="dxa"/>
            <w:vAlign w:val="bottom"/>
          </w:tcPr>
          <w:p>
            <w:pPr>
              <w:ind w:left="20"/>
              <w:spacing w:after="0"/>
              <w:rPr>
                <w:sz w:val="20"/>
                <w:szCs w:val="20"/>
                <w:color w:val="auto"/>
              </w:rPr>
            </w:pPr>
            <w:r>
              <w:rPr>
                <w:rFonts w:ascii="Arial" w:cs="Arial" w:eastAsia="Arial" w:hAnsi="Arial"/>
                <w:sz w:val="20"/>
                <w:szCs w:val="20"/>
                <w:color w:val="auto"/>
              </w:rPr>
              <w:t>EBITDA</w:t>
            </w:r>
          </w:p>
        </w:tc>
        <w:tc>
          <w:tcPr>
            <w:tcW w:w="1640" w:type="dxa"/>
            <w:vAlign w:val="bottom"/>
          </w:tcPr>
          <w:p>
            <w:pPr>
              <w:jc w:val="center"/>
              <w:ind w:left="161"/>
              <w:spacing w:after="0"/>
              <w:rPr>
                <w:sz w:val="20"/>
                <w:szCs w:val="20"/>
                <w:color w:val="auto"/>
              </w:rPr>
            </w:pPr>
            <w:r>
              <w:rPr>
                <w:rFonts w:ascii="Arial" w:cs="Arial" w:eastAsia="Arial" w:hAnsi="Arial"/>
                <w:sz w:val="20"/>
                <w:szCs w:val="20"/>
                <w:color w:val="auto"/>
              </w:rPr>
              <w:t>N/A</w:t>
            </w:r>
          </w:p>
        </w:tc>
        <w:tc>
          <w:tcPr>
            <w:tcW w:w="1360" w:type="dxa"/>
            <w:vAlign w:val="bottom"/>
          </w:tcPr>
          <w:p>
            <w:pPr>
              <w:jc w:val="center"/>
              <w:spacing w:after="0"/>
              <w:rPr>
                <w:sz w:val="20"/>
                <w:szCs w:val="20"/>
                <w:color w:val="auto"/>
              </w:rPr>
            </w:pPr>
            <w:r>
              <w:rPr>
                <w:rFonts w:ascii="Arial" w:cs="Arial" w:eastAsia="Arial" w:hAnsi="Arial"/>
                <w:sz w:val="20"/>
                <w:szCs w:val="20"/>
                <w:color w:val="auto"/>
                <w:w w:val="95"/>
              </w:rPr>
              <w:t>N/A</w:t>
            </w:r>
          </w:p>
        </w:tc>
        <w:tc>
          <w:tcPr>
            <w:tcW w:w="11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5"/>
              </w:rPr>
              <w:t>N/A</w:t>
            </w:r>
          </w:p>
        </w:tc>
        <w:tc>
          <w:tcPr>
            <w:tcW w:w="1500" w:type="dxa"/>
            <w:vAlign w:val="bottom"/>
          </w:tcPr>
          <w:p>
            <w:pPr>
              <w:jc w:val="center"/>
              <w:spacing w:after="0"/>
              <w:rPr>
                <w:sz w:val="20"/>
                <w:szCs w:val="20"/>
                <w:color w:val="auto"/>
              </w:rPr>
            </w:pPr>
            <w:r>
              <w:rPr>
                <w:rFonts w:ascii="Arial" w:cs="Arial" w:eastAsia="Arial" w:hAnsi="Arial"/>
                <w:sz w:val="20"/>
                <w:szCs w:val="20"/>
                <w:color w:val="auto"/>
                <w:w w:val="99"/>
              </w:rPr>
              <w:t>$75.3</w:t>
            </w:r>
          </w:p>
        </w:tc>
        <w:tc>
          <w:tcPr>
            <w:tcW w:w="1240" w:type="dxa"/>
            <w:vAlign w:val="bottom"/>
          </w:tcPr>
          <w:p>
            <w:pPr>
              <w:jc w:val="center"/>
              <w:ind w:right="1"/>
              <w:spacing w:after="0"/>
              <w:rPr>
                <w:sz w:val="20"/>
                <w:szCs w:val="20"/>
                <w:color w:val="auto"/>
              </w:rPr>
            </w:pPr>
            <w:r>
              <w:rPr>
                <w:rFonts w:ascii="Arial" w:cs="Arial" w:eastAsia="Arial" w:hAnsi="Arial"/>
                <w:sz w:val="20"/>
                <w:szCs w:val="20"/>
                <w:color w:val="auto"/>
                <w:w w:val="99"/>
              </w:rPr>
              <w:t>$46.8</w:t>
            </w:r>
          </w:p>
        </w:tc>
        <w:tc>
          <w:tcPr>
            <w:tcW w:w="1320" w:type="dxa"/>
            <w:vAlign w:val="bottom"/>
          </w:tcPr>
          <w:p>
            <w:pPr>
              <w:jc w:val="center"/>
              <w:spacing w:after="0"/>
              <w:rPr>
                <w:sz w:val="20"/>
                <w:szCs w:val="20"/>
                <w:color w:val="auto"/>
              </w:rPr>
            </w:pPr>
            <w:r>
              <w:rPr>
                <w:rFonts w:ascii="Arial" w:cs="Arial" w:eastAsia="Arial" w:hAnsi="Arial"/>
                <w:sz w:val="20"/>
                <w:szCs w:val="20"/>
                <w:color w:val="auto"/>
                <w:w w:val="98"/>
              </w:rPr>
              <w:t>60.9%</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2020" w:type="dxa"/>
            <w:vAlign w:val="bottom"/>
          </w:tcPr>
          <w:p>
            <w:pPr>
              <w:ind w:left="20"/>
              <w:spacing w:after="0"/>
              <w:rPr>
                <w:sz w:val="20"/>
                <w:szCs w:val="20"/>
                <w:color w:val="auto"/>
              </w:rPr>
            </w:pPr>
            <w:r>
              <w:rPr>
                <w:rFonts w:ascii="Arial" w:cs="Arial" w:eastAsia="Arial" w:hAnsi="Arial"/>
                <w:sz w:val="20"/>
                <w:szCs w:val="20"/>
                <w:color w:val="auto"/>
              </w:rPr>
              <w:t>EBITDA Margin</w:t>
            </w:r>
          </w:p>
        </w:tc>
        <w:tc>
          <w:tcPr>
            <w:tcW w:w="1640" w:type="dxa"/>
            <w:vAlign w:val="bottom"/>
          </w:tcPr>
          <w:p>
            <w:pPr>
              <w:jc w:val="center"/>
              <w:ind w:left="161"/>
              <w:spacing w:after="0"/>
              <w:rPr>
                <w:sz w:val="20"/>
                <w:szCs w:val="20"/>
                <w:color w:val="auto"/>
              </w:rPr>
            </w:pPr>
            <w:r>
              <w:rPr>
                <w:rFonts w:ascii="Arial" w:cs="Arial" w:eastAsia="Arial" w:hAnsi="Arial"/>
                <w:sz w:val="20"/>
                <w:szCs w:val="20"/>
                <w:color w:val="auto"/>
              </w:rPr>
              <w:t>N/A</w:t>
            </w:r>
          </w:p>
        </w:tc>
        <w:tc>
          <w:tcPr>
            <w:tcW w:w="1360" w:type="dxa"/>
            <w:vAlign w:val="bottom"/>
          </w:tcPr>
          <w:p>
            <w:pPr>
              <w:jc w:val="center"/>
              <w:spacing w:after="0"/>
              <w:rPr>
                <w:sz w:val="20"/>
                <w:szCs w:val="20"/>
                <w:color w:val="auto"/>
              </w:rPr>
            </w:pPr>
            <w:r>
              <w:rPr>
                <w:rFonts w:ascii="Arial" w:cs="Arial" w:eastAsia="Arial" w:hAnsi="Arial"/>
                <w:sz w:val="20"/>
                <w:szCs w:val="20"/>
                <w:color w:val="auto"/>
                <w:w w:val="95"/>
              </w:rPr>
              <w:t>N/A</w:t>
            </w:r>
          </w:p>
        </w:tc>
        <w:tc>
          <w:tcPr>
            <w:tcW w:w="11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5"/>
              </w:rPr>
              <w:t>N/A</w:t>
            </w:r>
          </w:p>
        </w:tc>
        <w:tc>
          <w:tcPr>
            <w:tcW w:w="1500" w:type="dxa"/>
            <w:vAlign w:val="bottom"/>
          </w:tcPr>
          <w:p>
            <w:pPr>
              <w:jc w:val="center"/>
              <w:ind w:right="1"/>
              <w:spacing w:after="0"/>
              <w:rPr>
                <w:sz w:val="20"/>
                <w:szCs w:val="20"/>
                <w:color w:val="auto"/>
              </w:rPr>
            </w:pPr>
            <w:r>
              <w:rPr>
                <w:rFonts w:ascii="Arial" w:cs="Arial" w:eastAsia="Arial" w:hAnsi="Arial"/>
                <w:sz w:val="20"/>
                <w:szCs w:val="20"/>
                <w:color w:val="auto"/>
                <w:w w:val="98"/>
              </w:rPr>
              <w:t>18.9%</w:t>
            </w:r>
          </w:p>
        </w:tc>
        <w:tc>
          <w:tcPr>
            <w:tcW w:w="1240" w:type="dxa"/>
            <w:vAlign w:val="bottom"/>
          </w:tcPr>
          <w:p>
            <w:pPr>
              <w:jc w:val="center"/>
              <w:spacing w:after="0"/>
              <w:rPr>
                <w:sz w:val="20"/>
                <w:szCs w:val="20"/>
                <w:color w:val="auto"/>
              </w:rPr>
            </w:pPr>
            <w:r>
              <w:rPr>
                <w:rFonts w:ascii="Arial" w:cs="Arial" w:eastAsia="Arial" w:hAnsi="Arial"/>
                <w:sz w:val="20"/>
                <w:szCs w:val="20"/>
                <w:color w:val="auto"/>
                <w:w w:val="98"/>
              </w:rPr>
              <w:t>20.3%</w:t>
            </w:r>
          </w:p>
        </w:tc>
        <w:tc>
          <w:tcPr>
            <w:tcW w:w="1320" w:type="dxa"/>
            <w:vAlign w:val="bottom"/>
          </w:tcPr>
          <w:p>
            <w:pPr>
              <w:jc w:val="center"/>
              <w:spacing w:after="0"/>
              <w:rPr>
                <w:sz w:val="20"/>
                <w:szCs w:val="20"/>
                <w:color w:val="auto"/>
              </w:rPr>
            </w:pPr>
            <w:r>
              <w:rPr>
                <w:rFonts w:ascii="Arial" w:cs="Arial" w:eastAsia="Arial" w:hAnsi="Arial"/>
                <w:sz w:val="20"/>
                <w:szCs w:val="20"/>
                <w:color w:val="auto"/>
                <w:w w:val="99"/>
              </w:rPr>
              <w:t>(140) bps</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300"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Net Sales</w:t>
      </w:r>
    </w:p>
    <w:p>
      <w:pPr>
        <w:spacing w:after="0" w:line="33" w:lineRule="exact"/>
        <w:rPr>
          <w:sz w:val="20"/>
          <w:szCs w:val="20"/>
          <w:color w:val="auto"/>
        </w:rPr>
      </w:pPr>
    </w:p>
    <w:p>
      <w:pPr>
        <w:ind w:left="660" w:hanging="328"/>
        <w:spacing w:after="0"/>
        <w:tabs>
          <w:tab w:leader="none" w:pos="660" w:val="left"/>
        </w:tabs>
        <w:numPr>
          <w:ilvl w:val="0"/>
          <w:numId w:val="5"/>
        </w:numPr>
        <w:rPr>
          <w:rFonts w:ascii="Arial" w:cs="Arial" w:eastAsia="Arial" w:hAnsi="Arial"/>
          <w:sz w:val="20"/>
          <w:szCs w:val="20"/>
          <w:color w:val="auto"/>
        </w:rPr>
      </w:pPr>
      <w:r>
        <w:rPr>
          <w:rFonts w:ascii="Arial" w:cs="Arial" w:eastAsia="Arial" w:hAnsi="Arial"/>
          <w:sz w:val="20"/>
          <w:szCs w:val="20"/>
          <w:color w:val="auto"/>
        </w:rPr>
        <w:t>OmniMax contributed $160.7 million - assuming OmniMax was owned in Q3 2025, Building Products grew 4.1%</w:t>
      </w:r>
    </w:p>
    <w:p>
      <w:pPr>
        <w:spacing w:after="0" w:line="13" w:lineRule="exact"/>
        <w:rPr>
          <w:rFonts w:ascii="Arial" w:cs="Arial" w:eastAsia="Arial" w:hAnsi="Arial"/>
          <w:sz w:val="20"/>
          <w:szCs w:val="20"/>
          <w:color w:val="auto"/>
        </w:rPr>
      </w:pPr>
    </w:p>
    <w:p>
      <w:pPr>
        <w:ind w:left="660" w:hanging="328"/>
        <w:spacing w:after="0" w:line="253" w:lineRule="auto"/>
        <w:tabs>
          <w:tab w:leader="none" w:pos="662" w:val="left"/>
        </w:tabs>
        <w:numPr>
          <w:ilvl w:val="0"/>
          <w:numId w:val="5"/>
        </w:numPr>
        <w:rPr>
          <w:rFonts w:ascii="Arial" w:cs="Arial" w:eastAsia="Arial" w:hAnsi="Arial"/>
          <w:sz w:val="20"/>
          <w:szCs w:val="20"/>
          <w:color w:val="auto"/>
        </w:rPr>
      </w:pPr>
      <w:r>
        <w:rPr>
          <w:rFonts w:ascii="Arial" w:cs="Arial" w:eastAsia="Arial" w:hAnsi="Arial"/>
          <w:sz w:val="20"/>
          <w:szCs w:val="20"/>
          <w:color w:val="auto"/>
        </w:rPr>
        <w:t>Price and participation gains helped offset a slower than expected market which was down as new construction and existing home sales weakened further</w:t>
      </w:r>
    </w:p>
    <w:p>
      <w:pPr>
        <w:spacing w:after="0" w:line="211"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Operating Income / EBITDA</w:t>
      </w:r>
    </w:p>
    <w:p>
      <w:pPr>
        <w:spacing w:after="0" w:line="20" w:lineRule="exact"/>
        <w:rPr>
          <w:sz w:val="20"/>
          <w:szCs w:val="20"/>
          <w:color w:val="auto"/>
        </w:rPr>
      </w:pPr>
    </w:p>
    <w:p>
      <w:pPr>
        <w:ind w:left="660" w:hanging="328"/>
        <w:spacing w:after="0"/>
        <w:tabs>
          <w:tab w:leader="none" w:pos="660" w:val="left"/>
        </w:tabs>
        <w:numPr>
          <w:ilvl w:val="0"/>
          <w:numId w:val="6"/>
        </w:numPr>
        <w:rPr>
          <w:rFonts w:ascii="Arial" w:cs="Arial" w:eastAsia="Arial" w:hAnsi="Arial"/>
          <w:sz w:val="20"/>
          <w:szCs w:val="20"/>
          <w:color w:val="auto"/>
        </w:rPr>
      </w:pPr>
      <w:r>
        <w:rPr>
          <w:rFonts w:ascii="Arial" w:cs="Arial" w:eastAsia="Arial" w:hAnsi="Arial"/>
          <w:sz w:val="20"/>
          <w:szCs w:val="20"/>
          <w:color w:val="auto"/>
        </w:rPr>
        <w:t>Adjusted EBITDA margin was essentially flat on a sequential basis</w:t>
      </w:r>
    </w:p>
    <w:p>
      <w:pPr>
        <w:spacing w:after="0" w:line="13" w:lineRule="exact"/>
        <w:rPr>
          <w:rFonts w:ascii="Arial" w:cs="Arial" w:eastAsia="Arial" w:hAnsi="Arial"/>
          <w:sz w:val="20"/>
          <w:szCs w:val="20"/>
          <w:color w:val="auto"/>
        </w:rPr>
      </w:pPr>
    </w:p>
    <w:p>
      <w:pPr>
        <w:ind w:left="660" w:right="20" w:hanging="328"/>
        <w:spacing w:after="0" w:line="267" w:lineRule="auto"/>
        <w:tabs>
          <w:tab w:leader="none" w:pos="662" w:val="left"/>
        </w:tabs>
        <w:numPr>
          <w:ilvl w:val="0"/>
          <w:numId w:val="6"/>
        </w:numPr>
        <w:rPr>
          <w:rFonts w:ascii="Arial" w:cs="Arial" w:eastAsia="Arial" w:hAnsi="Arial"/>
          <w:sz w:val="20"/>
          <w:szCs w:val="20"/>
          <w:color w:val="auto"/>
        </w:rPr>
      </w:pPr>
      <w:r>
        <w:rPr>
          <w:rFonts w:ascii="Arial" w:cs="Arial" w:eastAsia="Arial" w:hAnsi="Arial"/>
          <w:sz w:val="20"/>
          <w:szCs w:val="20"/>
          <w:color w:val="auto"/>
        </w:rPr>
        <w:t>Price / cost reduction countermeasures helped offset reduction in volume and incremental inflation across steel, logistics, and fuel absorbed in the quarter</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OmniMax Integration</w:t>
      </w:r>
    </w:p>
    <w:p>
      <w:pPr>
        <w:spacing w:after="0" w:line="33" w:lineRule="exact"/>
        <w:rPr>
          <w:sz w:val="20"/>
          <w:szCs w:val="20"/>
          <w:color w:val="auto"/>
        </w:rPr>
      </w:pPr>
    </w:p>
    <w:p>
      <w:pPr>
        <w:ind w:left="660" w:right="20" w:hanging="328"/>
        <w:spacing w:after="0" w:line="253" w:lineRule="auto"/>
        <w:tabs>
          <w:tab w:leader="none" w:pos="662" w:val="left"/>
        </w:tabs>
        <w:numPr>
          <w:ilvl w:val="0"/>
          <w:numId w:val="7"/>
        </w:numPr>
        <w:rPr>
          <w:rFonts w:ascii="Arial" w:cs="Arial" w:eastAsia="Arial" w:hAnsi="Arial"/>
          <w:sz w:val="20"/>
          <w:szCs w:val="20"/>
          <w:color w:val="auto"/>
        </w:rPr>
      </w:pPr>
      <w:r>
        <w:rPr>
          <w:rFonts w:ascii="Arial" w:cs="Arial" w:eastAsia="Arial" w:hAnsi="Arial"/>
          <w:sz w:val="20"/>
          <w:szCs w:val="20"/>
          <w:color w:val="auto"/>
        </w:rPr>
        <w:t>Integration Management Office driving 11 core workstreams – $7.8 million in synergies realized in third quarter, $14.5 million year-to-date – increased 2026 annualized synergy run rate an additional $7.3 million to $36.5 million</w:t>
      </w:r>
    </w:p>
    <w:p>
      <w:pPr>
        <w:spacing w:after="0" w:line="23" w:lineRule="exact"/>
        <w:rPr>
          <w:rFonts w:ascii="Arial" w:cs="Arial" w:eastAsia="Arial" w:hAnsi="Arial"/>
          <w:sz w:val="20"/>
          <w:szCs w:val="20"/>
          <w:color w:val="auto"/>
        </w:rPr>
      </w:pPr>
    </w:p>
    <w:p>
      <w:pPr>
        <w:ind w:left="660" w:hanging="328"/>
        <w:spacing w:after="0" w:line="274" w:lineRule="auto"/>
        <w:tabs>
          <w:tab w:leader="none" w:pos="662" w:val="left"/>
        </w:tabs>
        <w:numPr>
          <w:ilvl w:val="0"/>
          <w:numId w:val="7"/>
        </w:numPr>
        <w:rPr>
          <w:rFonts w:ascii="Arial" w:cs="Arial" w:eastAsia="Arial" w:hAnsi="Arial"/>
          <w:sz w:val="20"/>
          <w:szCs w:val="20"/>
          <w:color w:val="auto"/>
        </w:rPr>
      </w:pPr>
      <w:r>
        <w:rPr>
          <w:rFonts w:ascii="Arial" w:cs="Arial" w:eastAsia="Arial" w:hAnsi="Arial"/>
          <w:sz w:val="20"/>
          <w:szCs w:val="20"/>
          <w:color w:val="auto"/>
        </w:rPr>
        <w:t>Consolidating two facilities, regional brands, and decreasing SKU complexity by 44% - expect to contribute annual run rate savings over $5 million</w:t>
      </w:r>
    </w:p>
    <w:p>
      <w:pPr>
        <w:spacing w:after="0" w:line="1" w:lineRule="exact"/>
        <w:rPr>
          <w:rFonts w:ascii="Arial" w:cs="Arial" w:eastAsia="Arial" w:hAnsi="Arial"/>
          <w:sz w:val="20"/>
          <w:szCs w:val="20"/>
          <w:color w:val="auto"/>
        </w:rPr>
      </w:pPr>
    </w:p>
    <w:p>
      <w:pPr>
        <w:ind w:left="660" w:hanging="328"/>
        <w:spacing w:after="0"/>
        <w:tabs>
          <w:tab w:leader="none" w:pos="660" w:val="left"/>
        </w:tabs>
        <w:numPr>
          <w:ilvl w:val="0"/>
          <w:numId w:val="7"/>
        </w:numPr>
        <w:rPr>
          <w:rFonts w:ascii="Arial" w:cs="Arial" w:eastAsia="Arial" w:hAnsi="Arial"/>
          <w:sz w:val="20"/>
          <w:szCs w:val="20"/>
          <w:color w:val="auto"/>
        </w:rPr>
      </w:pPr>
      <w:r>
        <w:rPr>
          <w:rFonts w:ascii="Arial" w:cs="Arial" w:eastAsia="Arial" w:hAnsi="Arial"/>
          <w:sz w:val="20"/>
          <w:szCs w:val="20"/>
          <w:color w:val="auto"/>
        </w:rPr>
        <w:t>Recognized by Lowes as Building Products divisional Vendor Partner of the Year</w:t>
      </w:r>
    </w:p>
    <w:p>
      <w:pPr>
        <w:sectPr>
          <w:pgSz w:w="11900" w:h="16838" w:orient="portrait"/>
          <w:cols w:equalWidth="0" w:num="1">
            <w:col w:w="11240"/>
          </w:cols>
          <w:pgMar w:left="320" w:top="1371" w:right="339" w:bottom="1440" w:gutter="0" w:footer="0" w:header="0"/>
        </w:sectPr>
      </w:pPr>
    </w:p>
    <w:bookmarkStart w:id="5" w:name="page6"/>
    <w:bookmarkEnd w:id="5"/>
    <w:p>
      <w:pPr>
        <w:ind w:left="660" w:hanging="328"/>
        <w:spacing w:after="0" w:line="286" w:lineRule="auto"/>
        <w:tabs>
          <w:tab w:leader="none" w:pos="662" w:val="left"/>
        </w:tabs>
        <w:numPr>
          <w:ilvl w:val="0"/>
          <w:numId w:val="8"/>
        </w:numPr>
        <w:rPr>
          <w:rFonts w:ascii="Arial" w:cs="Arial" w:eastAsia="Arial" w:hAnsi="Arial"/>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5205730</wp:posOffset>
            </wp:positionH>
            <wp:positionV relativeFrom="page">
              <wp:posOffset>243205</wp:posOffset>
            </wp:positionV>
            <wp:extent cx="2134235" cy="2743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2134235" cy="274320"/>
                    </a:xfrm>
                    <a:prstGeom prst="rect">
                      <a:avLst/>
                    </a:prstGeom>
                    <a:noFill/>
                  </pic:spPr>
                </pic:pic>
              </a:graphicData>
            </a:graphic>
          </wp:anchor>
        </w:drawing>
        <w:t>Technology integration – ERP consolidation with two conversions completed and four remaining in the building products group. Common analytics, CRM, and network infrastructure integration underway</w:t>
      </w:r>
    </w:p>
    <w:p>
      <w:pPr>
        <w:spacing w:after="0" w:line="27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u w:val="single" w:color="auto"/>
          <w:color w:val="auto"/>
        </w:rPr>
        <w:t>Agtech</w:t>
      </w:r>
    </w:p>
    <w:p>
      <w:pPr>
        <w:spacing w:after="0" w:line="67" w:lineRule="exact"/>
        <w:rPr>
          <w:sz w:val="20"/>
          <w:szCs w:val="20"/>
          <w:color w:val="auto"/>
        </w:rPr>
      </w:pPr>
    </w:p>
    <w:p>
      <w:pPr>
        <w:ind w:left="100"/>
        <w:spacing w:after="0"/>
        <w:rPr>
          <w:sz w:val="20"/>
          <w:szCs w:val="20"/>
          <w:color w:val="auto"/>
        </w:rPr>
      </w:pPr>
      <w:r>
        <w:rPr>
          <w:rFonts w:ascii="Arial" w:cs="Arial" w:eastAsia="Arial" w:hAnsi="Arial"/>
          <w:sz w:val="20"/>
          <w:szCs w:val="20"/>
          <w:i w:val="1"/>
          <w:iCs w:val="1"/>
          <w:color w:val="auto"/>
        </w:rPr>
        <w:t xml:space="preserve">($Millions) </w:t>
      </w:r>
      <w:r>
        <w:rPr>
          <w:rFonts w:ascii="Arial" w:cs="Arial" w:eastAsia="Arial" w:hAnsi="Arial"/>
          <w:sz w:val="20"/>
          <w:szCs w:val="20"/>
          <w:color w:val="auto"/>
        </w:rPr>
        <w:t>Three Months Ended September 30,</w:t>
      </w:r>
    </w:p>
    <w:p>
      <w:pPr>
        <w:spacing w:after="0" w:line="42" w:lineRule="exact"/>
        <w:rPr>
          <w:sz w:val="20"/>
          <w:szCs w:val="20"/>
          <w:color w:val="auto"/>
        </w:rPr>
      </w:pPr>
    </w:p>
    <w:tbl>
      <w:tblPr>
        <w:tblLayout w:type="fixed"/>
        <w:tblInd w:w="80" w:type="dxa"/>
        <w:tblCellMar>
          <w:top w:w="0" w:type="dxa"/>
          <w:left w:w="0" w:type="dxa"/>
          <w:bottom w:w="0" w:type="dxa"/>
          <w:right w:w="0" w:type="dxa"/>
        </w:tblCellMar>
      </w:tblPr>
      <w:tr>
        <w:trPr>
          <w:trHeight w:val="203"/>
        </w:trPr>
        <w:tc>
          <w:tcPr>
            <w:tcW w:w="2020" w:type="dxa"/>
            <w:vAlign w:val="bottom"/>
            <w:tcBorders>
              <w:top w:val="single" w:sz="8" w:color="auto"/>
            </w:tcBorders>
          </w:tcPr>
          <w:p>
            <w:pPr>
              <w:spacing w:after="0"/>
              <w:rPr>
                <w:sz w:val="17"/>
                <w:szCs w:val="17"/>
                <w:color w:val="auto"/>
              </w:rPr>
            </w:pPr>
          </w:p>
        </w:tc>
        <w:tc>
          <w:tcPr>
            <w:tcW w:w="1620" w:type="dxa"/>
            <w:vAlign w:val="bottom"/>
            <w:tcBorders>
              <w:top w:val="single" w:sz="8" w:color="auto"/>
            </w:tcBorders>
            <w:vMerge w:val="restart"/>
          </w:tcPr>
          <w:p>
            <w:pPr>
              <w:jc w:val="center"/>
              <w:ind w:left="181"/>
              <w:spacing w:after="0"/>
              <w:rPr>
                <w:sz w:val="20"/>
                <w:szCs w:val="20"/>
                <w:color w:val="auto"/>
              </w:rPr>
            </w:pPr>
            <w:r>
              <w:rPr>
                <w:rFonts w:ascii="Arial" w:cs="Arial" w:eastAsia="Arial" w:hAnsi="Arial"/>
                <w:sz w:val="20"/>
                <w:szCs w:val="20"/>
                <w:b w:val="1"/>
                <w:bCs w:val="1"/>
                <w:color w:val="auto"/>
                <w:w w:val="98"/>
              </w:rPr>
              <w:t>2026 GAAP</w:t>
            </w:r>
          </w:p>
        </w:tc>
        <w:tc>
          <w:tcPr>
            <w:tcW w:w="1400" w:type="dxa"/>
            <w:vAlign w:val="bottom"/>
            <w:tcBorders>
              <w:top w:val="single" w:sz="8" w:color="auto"/>
            </w:tcBorders>
            <w:vMerge w:val="restart"/>
          </w:tcPr>
          <w:p>
            <w:pPr>
              <w:jc w:val="center"/>
              <w:spacing w:after="0"/>
              <w:rPr>
                <w:sz w:val="20"/>
                <w:szCs w:val="20"/>
                <w:color w:val="auto"/>
              </w:rPr>
            </w:pPr>
            <w:r>
              <w:rPr>
                <w:rFonts w:ascii="Arial" w:cs="Arial" w:eastAsia="Arial" w:hAnsi="Arial"/>
                <w:sz w:val="20"/>
                <w:szCs w:val="20"/>
                <w:b w:val="1"/>
                <w:bCs w:val="1"/>
                <w:color w:val="auto"/>
              </w:rPr>
              <w:t>2025 GAAP</w:t>
            </w:r>
          </w:p>
        </w:tc>
        <w:tc>
          <w:tcPr>
            <w:tcW w:w="1140" w:type="dxa"/>
            <w:vAlign w:val="bottom"/>
            <w:tcBorders>
              <w:top w:val="single" w:sz="8" w:color="auto"/>
            </w:tcBorders>
            <w:vMerge w:val="restart"/>
          </w:tcPr>
          <w:p>
            <w:pPr>
              <w:jc w:val="center"/>
              <w:spacing w:after="0"/>
              <w:rPr>
                <w:sz w:val="20"/>
                <w:szCs w:val="20"/>
                <w:color w:val="auto"/>
              </w:rPr>
            </w:pPr>
            <w:r>
              <w:rPr>
                <w:rFonts w:ascii="Arial" w:cs="Arial" w:eastAsia="Arial" w:hAnsi="Arial"/>
                <w:sz w:val="20"/>
                <w:szCs w:val="20"/>
                <w:color w:val="auto"/>
                <w:w w:val="99"/>
              </w:rPr>
              <w:t>Change</w:t>
            </w:r>
          </w:p>
        </w:tc>
        <w:tc>
          <w:tcPr>
            <w:tcW w:w="1520" w:type="dxa"/>
            <w:vAlign w:val="bottom"/>
            <w:tcBorders>
              <w:top w:val="single" w:sz="8" w:color="auto"/>
            </w:tcBorders>
            <w:vMerge w:val="restart"/>
          </w:tcPr>
          <w:p>
            <w:pPr>
              <w:ind w:left="40"/>
              <w:spacing w:after="0"/>
              <w:rPr>
                <w:sz w:val="20"/>
                <w:szCs w:val="20"/>
                <w:color w:val="auto"/>
              </w:rPr>
            </w:pPr>
            <w:r>
              <w:rPr>
                <w:rFonts w:ascii="Arial" w:cs="Arial" w:eastAsia="Arial" w:hAnsi="Arial"/>
                <w:sz w:val="20"/>
                <w:szCs w:val="20"/>
                <w:b w:val="1"/>
                <w:bCs w:val="1"/>
                <w:color w:val="auto"/>
              </w:rPr>
              <w:t>2026 Adjusted</w:t>
            </w:r>
          </w:p>
        </w:tc>
        <w:tc>
          <w:tcPr>
            <w:tcW w:w="1180" w:type="dxa"/>
            <w:vAlign w:val="bottom"/>
            <w:tcBorders>
              <w:top w:val="single" w:sz="8" w:color="auto"/>
            </w:tcBorders>
          </w:tcPr>
          <w:p>
            <w:pPr>
              <w:jc w:val="center"/>
              <w:spacing w:after="0" w:line="203" w:lineRule="exact"/>
              <w:rPr>
                <w:sz w:val="20"/>
                <w:szCs w:val="20"/>
                <w:color w:val="auto"/>
              </w:rPr>
            </w:pPr>
            <w:r>
              <w:rPr>
                <w:rFonts w:ascii="Arial" w:cs="Arial" w:eastAsia="Arial" w:hAnsi="Arial"/>
                <w:sz w:val="20"/>
                <w:szCs w:val="20"/>
                <w:b w:val="1"/>
                <w:bCs w:val="1"/>
                <w:color w:val="auto"/>
                <w:w w:val="98"/>
              </w:rPr>
              <w:t>2025</w:t>
            </w:r>
          </w:p>
        </w:tc>
        <w:tc>
          <w:tcPr>
            <w:tcW w:w="1100" w:type="dxa"/>
            <w:vAlign w:val="bottom"/>
            <w:tcBorders>
              <w:top w:val="single" w:sz="8" w:color="auto"/>
            </w:tcBorders>
            <w:vMerge w:val="restart"/>
          </w:tcPr>
          <w:p>
            <w:pPr>
              <w:ind w:left="220"/>
              <w:spacing w:after="0"/>
              <w:rPr>
                <w:sz w:val="20"/>
                <w:szCs w:val="20"/>
                <w:color w:val="auto"/>
              </w:rPr>
            </w:pPr>
            <w:r>
              <w:rPr>
                <w:rFonts w:ascii="Arial" w:cs="Arial" w:eastAsia="Arial" w:hAnsi="Arial"/>
                <w:sz w:val="20"/>
                <w:szCs w:val="20"/>
                <w:color w:val="auto"/>
              </w:rPr>
              <w:t>Change</w:t>
            </w:r>
          </w:p>
        </w:tc>
        <w:tc>
          <w:tcPr>
            <w:tcW w:w="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202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vMerge w:val="continue"/>
          </w:tcPr>
          <w:p>
            <w:pPr>
              <w:spacing w:after="0"/>
              <w:rPr>
                <w:sz w:val="22"/>
                <w:szCs w:val="22"/>
                <w:color w:val="auto"/>
              </w:rPr>
            </w:pPr>
          </w:p>
        </w:tc>
        <w:tc>
          <w:tcPr>
            <w:tcW w:w="1400" w:type="dxa"/>
            <w:vAlign w:val="bottom"/>
            <w:tcBorders>
              <w:bottom w:val="single" w:sz="8" w:color="auto"/>
            </w:tcBorders>
            <w:vMerge w:val="continue"/>
          </w:tcPr>
          <w:p>
            <w:pPr>
              <w:spacing w:after="0"/>
              <w:rPr>
                <w:sz w:val="22"/>
                <w:szCs w:val="22"/>
                <w:color w:val="auto"/>
              </w:rPr>
            </w:pPr>
          </w:p>
        </w:tc>
        <w:tc>
          <w:tcPr>
            <w:tcW w:w="1140" w:type="dxa"/>
            <w:vAlign w:val="bottom"/>
            <w:tcBorders>
              <w:bottom w:val="single" w:sz="8" w:color="auto"/>
            </w:tcBorders>
            <w:vMerge w:val="continue"/>
          </w:tcPr>
          <w:p>
            <w:pPr>
              <w:spacing w:after="0"/>
              <w:rPr>
                <w:sz w:val="22"/>
                <w:szCs w:val="22"/>
                <w:color w:val="auto"/>
              </w:rPr>
            </w:pPr>
          </w:p>
        </w:tc>
        <w:tc>
          <w:tcPr>
            <w:tcW w:w="1520" w:type="dxa"/>
            <w:vAlign w:val="bottom"/>
            <w:tcBorders>
              <w:bottom w:val="single" w:sz="8" w:color="auto"/>
            </w:tcBorders>
            <w:vMerge w:val="continue"/>
          </w:tcPr>
          <w:p>
            <w:pPr>
              <w:spacing w:after="0"/>
              <w:rPr>
                <w:sz w:val="22"/>
                <w:szCs w:val="22"/>
                <w:color w:val="auto"/>
              </w:rPr>
            </w:pPr>
          </w:p>
        </w:tc>
        <w:tc>
          <w:tcPr>
            <w:tcW w:w="1180" w:type="dxa"/>
            <w:vAlign w:val="bottom"/>
            <w:tcBorders>
              <w:bottom w:val="single" w:sz="8" w:color="auto"/>
            </w:tcBorders>
          </w:tcPr>
          <w:p>
            <w:pPr>
              <w:ind w:left="140"/>
              <w:spacing w:after="0"/>
              <w:rPr>
                <w:sz w:val="20"/>
                <w:szCs w:val="20"/>
                <w:color w:val="auto"/>
              </w:rPr>
            </w:pPr>
            <w:r>
              <w:rPr>
                <w:rFonts w:ascii="Arial" w:cs="Arial" w:eastAsia="Arial" w:hAnsi="Arial"/>
                <w:sz w:val="20"/>
                <w:szCs w:val="20"/>
                <w:b w:val="1"/>
                <w:bCs w:val="1"/>
                <w:color w:val="auto"/>
              </w:rPr>
              <w:t>Adjusted</w:t>
            </w:r>
          </w:p>
        </w:tc>
        <w:tc>
          <w:tcPr>
            <w:tcW w:w="1100" w:type="dxa"/>
            <w:vAlign w:val="bottom"/>
            <w:tcBorders>
              <w:bottom w:val="single" w:sz="8" w:color="auto"/>
            </w:tcBorders>
            <w:vMerge w:val="continue"/>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2"/>
        </w:trPr>
        <w:tc>
          <w:tcPr>
            <w:tcW w:w="2020" w:type="dxa"/>
            <w:vAlign w:val="bottom"/>
          </w:tcPr>
          <w:p>
            <w:pPr>
              <w:ind w:left="20"/>
              <w:spacing w:after="0"/>
              <w:rPr>
                <w:sz w:val="20"/>
                <w:szCs w:val="20"/>
                <w:color w:val="auto"/>
              </w:rPr>
            </w:pPr>
            <w:r>
              <w:rPr>
                <w:rFonts w:ascii="Arial" w:cs="Arial" w:eastAsia="Arial" w:hAnsi="Arial"/>
                <w:sz w:val="20"/>
                <w:szCs w:val="20"/>
                <w:color w:val="auto"/>
              </w:rPr>
              <w:t>Net Sales</w:t>
            </w:r>
          </w:p>
        </w:tc>
        <w:tc>
          <w:tcPr>
            <w:tcW w:w="1620" w:type="dxa"/>
            <w:vAlign w:val="bottom"/>
          </w:tcPr>
          <w:p>
            <w:pPr>
              <w:jc w:val="center"/>
              <w:ind w:left="181"/>
              <w:spacing w:after="0"/>
              <w:rPr>
                <w:sz w:val="20"/>
                <w:szCs w:val="20"/>
                <w:color w:val="auto"/>
              </w:rPr>
            </w:pPr>
            <w:r>
              <w:rPr>
                <w:rFonts w:ascii="Arial" w:cs="Arial" w:eastAsia="Arial" w:hAnsi="Arial"/>
                <w:sz w:val="20"/>
                <w:szCs w:val="20"/>
                <w:color w:val="auto"/>
                <w:w w:val="99"/>
              </w:rPr>
              <w:t>$59.3</w:t>
            </w:r>
          </w:p>
        </w:tc>
        <w:tc>
          <w:tcPr>
            <w:tcW w:w="1400" w:type="dxa"/>
            <w:vAlign w:val="bottom"/>
          </w:tcPr>
          <w:p>
            <w:pPr>
              <w:jc w:val="center"/>
              <w:spacing w:after="0"/>
              <w:rPr>
                <w:sz w:val="20"/>
                <w:szCs w:val="20"/>
                <w:color w:val="auto"/>
              </w:rPr>
            </w:pPr>
            <w:r>
              <w:rPr>
                <w:rFonts w:ascii="Arial" w:cs="Arial" w:eastAsia="Arial" w:hAnsi="Arial"/>
                <w:sz w:val="20"/>
                <w:szCs w:val="20"/>
                <w:color w:val="auto"/>
                <w:w w:val="95"/>
              </w:rPr>
              <w:t>$57.6</w:t>
            </w:r>
          </w:p>
        </w:tc>
        <w:tc>
          <w:tcPr>
            <w:tcW w:w="1140" w:type="dxa"/>
            <w:vAlign w:val="bottom"/>
            <w:tcBorders>
              <w:right w:val="single" w:sz="8" w:color="auto"/>
            </w:tcBorders>
          </w:tcPr>
          <w:p>
            <w:pPr>
              <w:jc w:val="right"/>
              <w:ind w:right="261"/>
              <w:spacing w:after="0"/>
              <w:rPr>
                <w:sz w:val="20"/>
                <w:szCs w:val="20"/>
                <w:color w:val="auto"/>
              </w:rPr>
            </w:pPr>
            <w:r>
              <w:rPr>
                <w:rFonts w:ascii="Arial" w:cs="Arial" w:eastAsia="Arial" w:hAnsi="Arial"/>
                <w:sz w:val="20"/>
                <w:szCs w:val="20"/>
                <w:color w:val="auto"/>
              </w:rPr>
              <w:t>3.0%</w:t>
            </w:r>
          </w:p>
        </w:tc>
        <w:tc>
          <w:tcPr>
            <w:tcW w:w="1520" w:type="dxa"/>
            <w:vAlign w:val="bottom"/>
          </w:tcPr>
          <w:p>
            <w:pPr>
              <w:jc w:val="center"/>
              <w:ind w:right="1"/>
              <w:spacing w:after="0"/>
              <w:rPr>
                <w:sz w:val="20"/>
                <w:szCs w:val="20"/>
                <w:color w:val="auto"/>
              </w:rPr>
            </w:pPr>
            <w:r>
              <w:rPr>
                <w:rFonts w:ascii="Arial" w:cs="Arial" w:eastAsia="Arial" w:hAnsi="Arial"/>
                <w:sz w:val="20"/>
                <w:szCs w:val="20"/>
                <w:color w:val="auto"/>
                <w:w w:val="99"/>
              </w:rPr>
              <w:t>$59.3</w:t>
            </w:r>
          </w:p>
        </w:tc>
        <w:tc>
          <w:tcPr>
            <w:tcW w:w="1180" w:type="dxa"/>
            <w:vAlign w:val="bottom"/>
          </w:tcPr>
          <w:p>
            <w:pPr>
              <w:jc w:val="center"/>
              <w:spacing w:after="0"/>
              <w:rPr>
                <w:sz w:val="20"/>
                <w:szCs w:val="20"/>
                <w:color w:val="auto"/>
              </w:rPr>
            </w:pPr>
            <w:r>
              <w:rPr>
                <w:rFonts w:ascii="Arial" w:cs="Arial" w:eastAsia="Arial" w:hAnsi="Arial"/>
                <w:sz w:val="20"/>
                <w:szCs w:val="20"/>
                <w:color w:val="auto"/>
                <w:w w:val="99"/>
              </w:rPr>
              <w:t>$57.6</w:t>
            </w:r>
          </w:p>
        </w:tc>
        <w:tc>
          <w:tcPr>
            <w:tcW w:w="1100" w:type="dxa"/>
            <w:vAlign w:val="bottom"/>
          </w:tcPr>
          <w:p>
            <w:pPr>
              <w:jc w:val="center"/>
              <w:spacing w:after="0"/>
              <w:rPr>
                <w:sz w:val="20"/>
                <w:szCs w:val="20"/>
                <w:color w:val="auto"/>
              </w:rPr>
            </w:pPr>
            <w:r>
              <w:rPr>
                <w:rFonts w:ascii="Arial" w:cs="Arial" w:eastAsia="Arial" w:hAnsi="Arial"/>
                <w:sz w:val="20"/>
                <w:szCs w:val="20"/>
                <w:color w:val="auto"/>
                <w:w w:val="96"/>
              </w:rPr>
              <w:t>3.0%</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2020" w:type="dxa"/>
            <w:vAlign w:val="bottom"/>
          </w:tcPr>
          <w:p>
            <w:pPr>
              <w:ind w:left="20"/>
              <w:spacing w:after="0"/>
              <w:rPr>
                <w:sz w:val="20"/>
                <w:szCs w:val="20"/>
                <w:color w:val="auto"/>
              </w:rPr>
            </w:pPr>
            <w:r>
              <w:rPr>
                <w:rFonts w:ascii="Arial" w:cs="Arial" w:eastAsia="Arial" w:hAnsi="Arial"/>
                <w:sz w:val="20"/>
                <w:szCs w:val="20"/>
                <w:color w:val="auto"/>
              </w:rPr>
              <w:t>Operating Income</w:t>
            </w:r>
          </w:p>
        </w:tc>
        <w:tc>
          <w:tcPr>
            <w:tcW w:w="1620" w:type="dxa"/>
            <w:vAlign w:val="bottom"/>
          </w:tcPr>
          <w:p>
            <w:pPr>
              <w:jc w:val="center"/>
              <w:ind w:left="181"/>
              <w:spacing w:after="0"/>
              <w:rPr>
                <w:sz w:val="20"/>
                <w:szCs w:val="20"/>
                <w:color w:val="auto"/>
              </w:rPr>
            </w:pPr>
            <w:r>
              <w:rPr>
                <w:rFonts w:ascii="Arial" w:cs="Arial" w:eastAsia="Arial" w:hAnsi="Arial"/>
                <w:sz w:val="20"/>
                <w:szCs w:val="20"/>
                <w:color w:val="auto"/>
                <w:w w:val="97"/>
              </w:rPr>
              <w:t>$5.2</w:t>
            </w:r>
          </w:p>
        </w:tc>
        <w:tc>
          <w:tcPr>
            <w:tcW w:w="1400" w:type="dxa"/>
            <w:vAlign w:val="bottom"/>
          </w:tcPr>
          <w:p>
            <w:pPr>
              <w:jc w:val="center"/>
              <w:spacing w:after="0"/>
              <w:rPr>
                <w:sz w:val="20"/>
                <w:szCs w:val="20"/>
                <w:color w:val="auto"/>
              </w:rPr>
            </w:pPr>
            <w:r>
              <w:rPr>
                <w:rFonts w:ascii="Arial" w:cs="Arial" w:eastAsia="Arial" w:hAnsi="Arial"/>
                <w:sz w:val="20"/>
                <w:szCs w:val="20"/>
                <w:color w:val="auto"/>
              </w:rPr>
              <w:t>$3.2</w:t>
            </w:r>
          </w:p>
        </w:tc>
        <w:tc>
          <w:tcPr>
            <w:tcW w:w="1140" w:type="dxa"/>
            <w:vAlign w:val="bottom"/>
            <w:tcBorders>
              <w:right w:val="single" w:sz="8" w:color="auto"/>
            </w:tcBorders>
          </w:tcPr>
          <w:p>
            <w:pPr>
              <w:jc w:val="right"/>
              <w:ind w:right="221"/>
              <w:spacing w:after="0"/>
              <w:rPr>
                <w:sz w:val="20"/>
                <w:szCs w:val="20"/>
                <w:color w:val="auto"/>
              </w:rPr>
            </w:pPr>
            <w:r>
              <w:rPr>
                <w:rFonts w:ascii="Arial" w:cs="Arial" w:eastAsia="Arial" w:hAnsi="Arial"/>
                <w:sz w:val="20"/>
                <w:szCs w:val="20"/>
                <w:color w:val="auto"/>
              </w:rPr>
              <w:t>62.5%</w:t>
            </w:r>
          </w:p>
        </w:tc>
        <w:tc>
          <w:tcPr>
            <w:tcW w:w="1520" w:type="dxa"/>
            <w:vAlign w:val="bottom"/>
          </w:tcPr>
          <w:p>
            <w:pPr>
              <w:jc w:val="center"/>
              <w:ind w:right="1"/>
              <w:spacing w:after="0"/>
              <w:rPr>
                <w:sz w:val="20"/>
                <w:szCs w:val="20"/>
                <w:color w:val="auto"/>
              </w:rPr>
            </w:pPr>
            <w:r>
              <w:rPr>
                <w:rFonts w:ascii="Arial" w:cs="Arial" w:eastAsia="Arial" w:hAnsi="Arial"/>
                <w:sz w:val="20"/>
                <w:szCs w:val="20"/>
                <w:color w:val="auto"/>
                <w:w w:val="97"/>
              </w:rPr>
              <w:t>$5.9</w:t>
            </w:r>
          </w:p>
        </w:tc>
        <w:tc>
          <w:tcPr>
            <w:tcW w:w="1180" w:type="dxa"/>
            <w:vAlign w:val="bottom"/>
          </w:tcPr>
          <w:p>
            <w:pPr>
              <w:jc w:val="center"/>
              <w:spacing w:after="0"/>
              <w:rPr>
                <w:sz w:val="20"/>
                <w:szCs w:val="20"/>
                <w:color w:val="auto"/>
              </w:rPr>
            </w:pPr>
            <w:r>
              <w:rPr>
                <w:rFonts w:ascii="Arial" w:cs="Arial" w:eastAsia="Arial" w:hAnsi="Arial"/>
                <w:sz w:val="20"/>
                <w:szCs w:val="20"/>
                <w:color w:val="auto"/>
              </w:rPr>
              <w:t>$3.3</w:t>
            </w:r>
          </w:p>
        </w:tc>
        <w:tc>
          <w:tcPr>
            <w:tcW w:w="1100" w:type="dxa"/>
            <w:vAlign w:val="bottom"/>
          </w:tcPr>
          <w:p>
            <w:pPr>
              <w:jc w:val="center"/>
              <w:spacing w:after="0"/>
              <w:rPr>
                <w:sz w:val="20"/>
                <w:szCs w:val="20"/>
                <w:color w:val="auto"/>
              </w:rPr>
            </w:pPr>
            <w:r>
              <w:rPr>
                <w:rFonts w:ascii="Arial" w:cs="Arial" w:eastAsia="Arial" w:hAnsi="Arial"/>
                <w:sz w:val="20"/>
                <w:szCs w:val="20"/>
                <w:color w:val="auto"/>
                <w:w w:val="98"/>
              </w:rPr>
              <w:t>78.8%</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020" w:type="dxa"/>
            <w:vAlign w:val="bottom"/>
          </w:tcPr>
          <w:p>
            <w:pPr>
              <w:ind w:left="20"/>
              <w:spacing w:after="0"/>
              <w:rPr>
                <w:sz w:val="20"/>
                <w:szCs w:val="20"/>
                <w:color w:val="auto"/>
              </w:rPr>
            </w:pPr>
            <w:r>
              <w:rPr>
                <w:rFonts w:ascii="Arial" w:cs="Arial" w:eastAsia="Arial" w:hAnsi="Arial"/>
                <w:sz w:val="20"/>
                <w:szCs w:val="20"/>
                <w:color w:val="auto"/>
              </w:rPr>
              <w:t>Operating Margin</w:t>
            </w:r>
          </w:p>
        </w:tc>
        <w:tc>
          <w:tcPr>
            <w:tcW w:w="1620" w:type="dxa"/>
            <w:vAlign w:val="bottom"/>
          </w:tcPr>
          <w:p>
            <w:pPr>
              <w:jc w:val="center"/>
              <w:ind w:left="181"/>
              <w:spacing w:after="0"/>
              <w:rPr>
                <w:sz w:val="20"/>
                <w:szCs w:val="20"/>
                <w:color w:val="auto"/>
              </w:rPr>
            </w:pPr>
            <w:r>
              <w:rPr>
                <w:rFonts w:ascii="Arial" w:cs="Arial" w:eastAsia="Arial" w:hAnsi="Arial"/>
                <w:sz w:val="20"/>
                <w:szCs w:val="20"/>
                <w:color w:val="auto"/>
              </w:rPr>
              <w:t>8.7%</w:t>
            </w:r>
          </w:p>
        </w:tc>
        <w:tc>
          <w:tcPr>
            <w:tcW w:w="1400" w:type="dxa"/>
            <w:vAlign w:val="bottom"/>
          </w:tcPr>
          <w:p>
            <w:pPr>
              <w:jc w:val="center"/>
              <w:spacing w:after="0"/>
              <w:rPr>
                <w:sz w:val="20"/>
                <w:szCs w:val="20"/>
                <w:color w:val="auto"/>
              </w:rPr>
            </w:pPr>
            <w:r>
              <w:rPr>
                <w:rFonts w:ascii="Arial" w:cs="Arial" w:eastAsia="Arial" w:hAnsi="Arial"/>
                <w:sz w:val="20"/>
                <w:szCs w:val="20"/>
                <w:color w:val="auto"/>
                <w:w w:val="96"/>
              </w:rPr>
              <w:t>5.5%</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8"/>
              </w:rPr>
              <w:t>320 bps</w:t>
            </w:r>
          </w:p>
        </w:tc>
        <w:tc>
          <w:tcPr>
            <w:tcW w:w="1520" w:type="dxa"/>
            <w:vAlign w:val="bottom"/>
          </w:tcPr>
          <w:p>
            <w:pPr>
              <w:jc w:val="center"/>
              <w:ind w:right="1"/>
              <w:spacing w:after="0"/>
              <w:rPr>
                <w:sz w:val="20"/>
                <w:szCs w:val="20"/>
                <w:color w:val="auto"/>
              </w:rPr>
            </w:pPr>
            <w:r>
              <w:rPr>
                <w:rFonts w:ascii="Arial" w:cs="Arial" w:eastAsia="Arial" w:hAnsi="Arial"/>
                <w:sz w:val="20"/>
                <w:szCs w:val="20"/>
                <w:color w:val="auto"/>
              </w:rPr>
              <w:t>9.9%</w:t>
            </w:r>
          </w:p>
        </w:tc>
        <w:tc>
          <w:tcPr>
            <w:tcW w:w="1180" w:type="dxa"/>
            <w:vAlign w:val="bottom"/>
          </w:tcPr>
          <w:p>
            <w:pPr>
              <w:jc w:val="center"/>
              <w:spacing w:after="0"/>
              <w:rPr>
                <w:sz w:val="20"/>
                <w:szCs w:val="20"/>
                <w:color w:val="auto"/>
              </w:rPr>
            </w:pPr>
            <w:r>
              <w:rPr>
                <w:rFonts w:ascii="Arial" w:cs="Arial" w:eastAsia="Arial" w:hAnsi="Arial"/>
                <w:sz w:val="20"/>
                <w:szCs w:val="20"/>
                <w:color w:val="auto"/>
                <w:w w:val="96"/>
              </w:rPr>
              <w:t>5.7%</w:t>
            </w:r>
          </w:p>
        </w:tc>
        <w:tc>
          <w:tcPr>
            <w:tcW w:w="1100" w:type="dxa"/>
            <w:vAlign w:val="bottom"/>
          </w:tcPr>
          <w:p>
            <w:pPr>
              <w:ind w:left="200"/>
              <w:spacing w:after="0"/>
              <w:rPr>
                <w:sz w:val="20"/>
                <w:szCs w:val="20"/>
                <w:color w:val="auto"/>
              </w:rPr>
            </w:pPr>
            <w:r>
              <w:rPr>
                <w:rFonts w:ascii="Arial" w:cs="Arial" w:eastAsia="Arial" w:hAnsi="Arial"/>
                <w:sz w:val="20"/>
                <w:szCs w:val="20"/>
                <w:color w:val="auto"/>
              </w:rPr>
              <w:t>420 bps</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020" w:type="dxa"/>
            <w:vAlign w:val="bottom"/>
          </w:tcPr>
          <w:p>
            <w:pPr>
              <w:ind w:left="20"/>
              <w:spacing w:after="0"/>
              <w:rPr>
                <w:sz w:val="20"/>
                <w:szCs w:val="20"/>
                <w:color w:val="auto"/>
              </w:rPr>
            </w:pPr>
            <w:r>
              <w:rPr>
                <w:rFonts w:ascii="Arial" w:cs="Arial" w:eastAsia="Arial" w:hAnsi="Arial"/>
                <w:sz w:val="20"/>
                <w:szCs w:val="20"/>
                <w:color w:val="auto"/>
              </w:rPr>
              <w:t>EBITDA</w:t>
            </w:r>
          </w:p>
        </w:tc>
        <w:tc>
          <w:tcPr>
            <w:tcW w:w="1620" w:type="dxa"/>
            <w:vAlign w:val="bottom"/>
          </w:tcPr>
          <w:p>
            <w:pPr>
              <w:jc w:val="center"/>
              <w:ind w:left="181"/>
              <w:spacing w:after="0"/>
              <w:rPr>
                <w:sz w:val="20"/>
                <w:szCs w:val="20"/>
                <w:color w:val="auto"/>
              </w:rPr>
            </w:pPr>
            <w:r>
              <w:rPr>
                <w:rFonts w:ascii="Arial" w:cs="Arial" w:eastAsia="Arial" w:hAnsi="Arial"/>
                <w:sz w:val="20"/>
                <w:szCs w:val="20"/>
                <w:color w:val="auto"/>
              </w:rPr>
              <w:t>N/A</w:t>
            </w:r>
          </w:p>
        </w:tc>
        <w:tc>
          <w:tcPr>
            <w:tcW w:w="1400" w:type="dxa"/>
            <w:vAlign w:val="bottom"/>
          </w:tcPr>
          <w:p>
            <w:pPr>
              <w:jc w:val="center"/>
              <w:spacing w:after="0"/>
              <w:rPr>
                <w:sz w:val="20"/>
                <w:szCs w:val="20"/>
                <w:color w:val="auto"/>
              </w:rPr>
            </w:pPr>
            <w:r>
              <w:rPr>
                <w:rFonts w:ascii="Arial" w:cs="Arial" w:eastAsia="Arial" w:hAnsi="Arial"/>
                <w:sz w:val="20"/>
                <w:szCs w:val="20"/>
                <w:color w:val="auto"/>
                <w:w w:val="95"/>
              </w:rPr>
              <w:t>N/A</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5"/>
              </w:rPr>
              <w:t>N/A</w:t>
            </w:r>
          </w:p>
        </w:tc>
        <w:tc>
          <w:tcPr>
            <w:tcW w:w="1520" w:type="dxa"/>
            <w:vAlign w:val="bottom"/>
          </w:tcPr>
          <w:p>
            <w:pPr>
              <w:jc w:val="center"/>
              <w:ind w:right="1"/>
              <w:spacing w:after="0"/>
              <w:rPr>
                <w:sz w:val="20"/>
                <w:szCs w:val="20"/>
                <w:color w:val="auto"/>
              </w:rPr>
            </w:pPr>
            <w:r>
              <w:rPr>
                <w:rFonts w:ascii="Arial" w:cs="Arial" w:eastAsia="Arial" w:hAnsi="Arial"/>
                <w:sz w:val="20"/>
                <w:szCs w:val="20"/>
                <w:color w:val="auto"/>
                <w:w w:val="97"/>
              </w:rPr>
              <w:t>$7.8</w:t>
            </w:r>
          </w:p>
        </w:tc>
        <w:tc>
          <w:tcPr>
            <w:tcW w:w="1180" w:type="dxa"/>
            <w:vAlign w:val="bottom"/>
          </w:tcPr>
          <w:p>
            <w:pPr>
              <w:jc w:val="center"/>
              <w:spacing w:after="0"/>
              <w:rPr>
                <w:sz w:val="20"/>
                <w:szCs w:val="20"/>
                <w:color w:val="auto"/>
              </w:rPr>
            </w:pPr>
            <w:r>
              <w:rPr>
                <w:rFonts w:ascii="Arial" w:cs="Arial" w:eastAsia="Arial" w:hAnsi="Arial"/>
                <w:sz w:val="20"/>
                <w:szCs w:val="20"/>
                <w:color w:val="auto"/>
              </w:rPr>
              <w:t>$5.4</w:t>
            </w:r>
          </w:p>
        </w:tc>
        <w:tc>
          <w:tcPr>
            <w:tcW w:w="1100" w:type="dxa"/>
            <w:vAlign w:val="bottom"/>
          </w:tcPr>
          <w:p>
            <w:pPr>
              <w:jc w:val="center"/>
              <w:spacing w:after="0"/>
              <w:rPr>
                <w:sz w:val="20"/>
                <w:szCs w:val="20"/>
                <w:color w:val="auto"/>
              </w:rPr>
            </w:pPr>
            <w:r>
              <w:rPr>
                <w:rFonts w:ascii="Arial" w:cs="Arial" w:eastAsia="Arial" w:hAnsi="Arial"/>
                <w:sz w:val="20"/>
                <w:szCs w:val="20"/>
                <w:color w:val="auto"/>
                <w:w w:val="98"/>
              </w:rPr>
              <w:t>44.4%</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2020" w:type="dxa"/>
            <w:vAlign w:val="bottom"/>
          </w:tcPr>
          <w:p>
            <w:pPr>
              <w:ind w:left="20"/>
              <w:spacing w:after="0"/>
              <w:rPr>
                <w:sz w:val="20"/>
                <w:szCs w:val="20"/>
                <w:color w:val="auto"/>
              </w:rPr>
            </w:pPr>
            <w:r>
              <w:rPr>
                <w:rFonts w:ascii="Arial" w:cs="Arial" w:eastAsia="Arial" w:hAnsi="Arial"/>
                <w:sz w:val="20"/>
                <w:szCs w:val="20"/>
                <w:color w:val="auto"/>
              </w:rPr>
              <w:t>EBITDA Margin</w:t>
            </w:r>
          </w:p>
        </w:tc>
        <w:tc>
          <w:tcPr>
            <w:tcW w:w="1620" w:type="dxa"/>
            <w:vAlign w:val="bottom"/>
          </w:tcPr>
          <w:p>
            <w:pPr>
              <w:jc w:val="center"/>
              <w:ind w:left="181"/>
              <w:spacing w:after="0"/>
              <w:rPr>
                <w:sz w:val="20"/>
                <w:szCs w:val="20"/>
                <w:color w:val="auto"/>
              </w:rPr>
            </w:pPr>
            <w:r>
              <w:rPr>
                <w:rFonts w:ascii="Arial" w:cs="Arial" w:eastAsia="Arial" w:hAnsi="Arial"/>
                <w:sz w:val="20"/>
                <w:szCs w:val="20"/>
                <w:color w:val="auto"/>
              </w:rPr>
              <w:t>N/A</w:t>
            </w:r>
          </w:p>
        </w:tc>
        <w:tc>
          <w:tcPr>
            <w:tcW w:w="1400" w:type="dxa"/>
            <w:vAlign w:val="bottom"/>
          </w:tcPr>
          <w:p>
            <w:pPr>
              <w:jc w:val="center"/>
              <w:spacing w:after="0"/>
              <w:rPr>
                <w:sz w:val="20"/>
                <w:szCs w:val="20"/>
                <w:color w:val="auto"/>
              </w:rPr>
            </w:pPr>
            <w:r>
              <w:rPr>
                <w:rFonts w:ascii="Arial" w:cs="Arial" w:eastAsia="Arial" w:hAnsi="Arial"/>
                <w:sz w:val="20"/>
                <w:szCs w:val="20"/>
                <w:color w:val="auto"/>
                <w:w w:val="95"/>
              </w:rPr>
              <w:t>N/A</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5"/>
              </w:rPr>
              <w:t>N/A</w:t>
            </w:r>
          </w:p>
        </w:tc>
        <w:tc>
          <w:tcPr>
            <w:tcW w:w="1520" w:type="dxa"/>
            <w:vAlign w:val="bottom"/>
          </w:tcPr>
          <w:p>
            <w:pPr>
              <w:jc w:val="center"/>
              <w:spacing w:after="0"/>
              <w:rPr>
                <w:sz w:val="20"/>
                <w:szCs w:val="20"/>
                <w:color w:val="auto"/>
              </w:rPr>
            </w:pPr>
            <w:r>
              <w:rPr>
                <w:rFonts w:ascii="Arial" w:cs="Arial" w:eastAsia="Arial" w:hAnsi="Arial"/>
                <w:sz w:val="20"/>
                <w:szCs w:val="20"/>
                <w:color w:val="auto"/>
                <w:w w:val="98"/>
              </w:rPr>
              <w:t>13.2%</w:t>
            </w:r>
          </w:p>
        </w:tc>
        <w:tc>
          <w:tcPr>
            <w:tcW w:w="1180" w:type="dxa"/>
            <w:vAlign w:val="bottom"/>
          </w:tcPr>
          <w:p>
            <w:pPr>
              <w:jc w:val="center"/>
              <w:spacing w:after="0"/>
              <w:rPr>
                <w:sz w:val="20"/>
                <w:szCs w:val="20"/>
                <w:color w:val="auto"/>
              </w:rPr>
            </w:pPr>
            <w:r>
              <w:rPr>
                <w:rFonts w:ascii="Arial" w:cs="Arial" w:eastAsia="Arial" w:hAnsi="Arial"/>
                <w:sz w:val="20"/>
                <w:szCs w:val="20"/>
                <w:color w:val="auto"/>
                <w:w w:val="96"/>
              </w:rPr>
              <w:t>9.4%</w:t>
            </w:r>
          </w:p>
        </w:tc>
        <w:tc>
          <w:tcPr>
            <w:tcW w:w="1100" w:type="dxa"/>
            <w:vAlign w:val="bottom"/>
          </w:tcPr>
          <w:p>
            <w:pPr>
              <w:ind w:left="200"/>
              <w:spacing w:after="0"/>
              <w:rPr>
                <w:sz w:val="20"/>
                <w:szCs w:val="20"/>
                <w:color w:val="auto"/>
              </w:rPr>
            </w:pPr>
            <w:r>
              <w:rPr>
                <w:rFonts w:ascii="Arial" w:cs="Arial" w:eastAsia="Arial" w:hAnsi="Arial"/>
                <w:sz w:val="20"/>
                <w:szCs w:val="20"/>
                <w:color w:val="auto"/>
              </w:rPr>
              <w:t>380 bps</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302"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Net sales growth was up 3.0% but lower than expected due to CEA and Structures customers experiencing construction permit delays impacting revenue in the quarter and second half. Backlog at the end of the quarter was $45.6 million, down 55%, but has subsequently increased with recent project awards post quarter end.</w:t>
      </w:r>
    </w:p>
    <w:p>
      <w:pPr>
        <w:spacing w:after="0" w:line="185" w:lineRule="exact"/>
        <w:rPr>
          <w:sz w:val="20"/>
          <w:szCs w:val="20"/>
          <w:color w:val="auto"/>
        </w:rPr>
      </w:pPr>
    </w:p>
    <w:p>
      <w:pPr>
        <w:spacing w:after="0"/>
        <w:rPr>
          <w:sz w:val="20"/>
          <w:szCs w:val="20"/>
          <w:color w:val="auto"/>
        </w:rPr>
      </w:pPr>
      <w:r>
        <w:rPr>
          <w:rFonts w:ascii="Arial" w:cs="Arial" w:eastAsia="Arial" w:hAnsi="Arial"/>
          <w:sz w:val="20"/>
          <w:szCs w:val="20"/>
          <w:color w:val="auto"/>
        </w:rPr>
        <w:t>Adjusted operating and EBITDA margin driven by volume, business mix, and 80/20 operating initiatives.</w:t>
      </w:r>
    </w:p>
    <w:p>
      <w:pPr>
        <w:spacing w:after="0" w:line="25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u w:val="single" w:color="auto"/>
          <w:color w:val="auto"/>
        </w:rPr>
        <w:t>Infrastructure</w:t>
      </w:r>
    </w:p>
    <w:p>
      <w:pPr>
        <w:spacing w:after="0" w:line="54" w:lineRule="exact"/>
        <w:rPr>
          <w:sz w:val="20"/>
          <w:szCs w:val="20"/>
          <w:color w:val="auto"/>
        </w:rPr>
      </w:pPr>
    </w:p>
    <w:p>
      <w:pPr>
        <w:ind w:left="100"/>
        <w:spacing w:after="0"/>
        <w:rPr>
          <w:sz w:val="20"/>
          <w:szCs w:val="20"/>
          <w:color w:val="auto"/>
        </w:rPr>
      </w:pPr>
      <w:r>
        <w:rPr>
          <w:rFonts w:ascii="Arial" w:cs="Arial" w:eastAsia="Arial" w:hAnsi="Arial"/>
          <w:sz w:val="20"/>
          <w:szCs w:val="20"/>
          <w:i w:val="1"/>
          <w:iCs w:val="1"/>
          <w:color w:val="auto"/>
        </w:rPr>
        <w:t xml:space="preserve">($Millions) </w:t>
      </w:r>
      <w:r>
        <w:rPr>
          <w:rFonts w:ascii="Arial" w:cs="Arial" w:eastAsia="Arial" w:hAnsi="Arial"/>
          <w:sz w:val="20"/>
          <w:szCs w:val="20"/>
          <w:color w:val="auto"/>
        </w:rPr>
        <w:t>Three Months Ended September 30,</w:t>
      </w:r>
    </w:p>
    <w:p>
      <w:pPr>
        <w:spacing w:after="0" w:line="42" w:lineRule="exact"/>
        <w:rPr>
          <w:sz w:val="20"/>
          <w:szCs w:val="20"/>
          <w:color w:val="auto"/>
        </w:rPr>
      </w:pPr>
    </w:p>
    <w:tbl>
      <w:tblPr>
        <w:tblLayout w:type="fixed"/>
        <w:tblInd w:w="80" w:type="dxa"/>
        <w:tblCellMar>
          <w:top w:w="0" w:type="dxa"/>
          <w:left w:w="0" w:type="dxa"/>
          <w:bottom w:w="0" w:type="dxa"/>
          <w:right w:w="0" w:type="dxa"/>
        </w:tblCellMar>
      </w:tblPr>
      <w:tr>
        <w:trPr>
          <w:trHeight w:val="206"/>
        </w:trPr>
        <w:tc>
          <w:tcPr>
            <w:tcW w:w="2020" w:type="dxa"/>
            <w:vAlign w:val="bottom"/>
            <w:tcBorders>
              <w:top w:val="single" w:sz="8" w:color="auto"/>
            </w:tcBorders>
          </w:tcPr>
          <w:p>
            <w:pPr>
              <w:spacing w:after="0"/>
              <w:rPr>
                <w:sz w:val="17"/>
                <w:szCs w:val="17"/>
                <w:color w:val="auto"/>
              </w:rPr>
            </w:pPr>
          </w:p>
        </w:tc>
        <w:tc>
          <w:tcPr>
            <w:tcW w:w="1620" w:type="dxa"/>
            <w:vAlign w:val="bottom"/>
            <w:tcBorders>
              <w:top w:val="single" w:sz="8" w:color="auto"/>
            </w:tcBorders>
            <w:vMerge w:val="restart"/>
          </w:tcPr>
          <w:p>
            <w:pPr>
              <w:jc w:val="center"/>
              <w:ind w:left="181"/>
              <w:spacing w:after="0"/>
              <w:rPr>
                <w:sz w:val="20"/>
                <w:szCs w:val="20"/>
                <w:color w:val="auto"/>
              </w:rPr>
            </w:pPr>
            <w:r>
              <w:rPr>
                <w:rFonts w:ascii="Arial" w:cs="Arial" w:eastAsia="Arial" w:hAnsi="Arial"/>
                <w:sz w:val="20"/>
                <w:szCs w:val="20"/>
                <w:b w:val="1"/>
                <w:bCs w:val="1"/>
                <w:color w:val="auto"/>
                <w:w w:val="98"/>
              </w:rPr>
              <w:t>2026 GAAP</w:t>
            </w:r>
          </w:p>
        </w:tc>
        <w:tc>
          <w:tcPr>
            <w:tcW w:w="1400" w:type="dxa"/>
            <w:vAlign w:val="bottom"/>
            <w:tcBorders>
              <w:top w:val="single" w:sz="8" w:color="auto"/>
            </w:tcBorders>
            <w:vMerge w:val="restart"/>
          </w:tcPr>
          <w:p>
            <w:pPr>
              <w:jc w:val="center"/>
              <w:spacing w:after="0"/>
              <w:rPr>
                <w:sz w:val="20"/>
                <w:szCs w:val="20"/>
                <w:color w:val="auto"/>
              </w:rPr>
            </w:pPr>
            <w:r>
              <w:rPr>
                <w:rFonts w:ascii="Arial" w:cs="Arial" w:eastAsia="Arial" w:hAnsi="Arial"/>
                <w:sz w:val="20"/>
                <w:szCs w:val="20"/>
                <w:b w:val="1"/>
                <w:bCs w:val="1"/>
                <w:color w:val="auto"/>
              </w:rPr>
              <w:t>2025 GAAP</w:t>
            </w:r>
          </w:p>
        </w:tc>
        <w:tc>
          <w:tcPr>
            <w:tcW w:w="1140" w:type="dxa"/>
            <w:vAlign w:val="bottom"/>
            <w:tcBorders>
              <w:top w:val="single" w:sz="8" w:color="auto"/>
            </w:tcBorders>
            <w:vMerge w:val="restart"/>
          </w:tcPr>
          <w:p>
            <w:pPr>
              <w:jc w:val="center"/>
              <w:spacing w:after="0"/>
              <w:rPr>
                <w:sz w:val="20"/>
                <w:szCs w:val="20"/>
                <w:color w:val="auto"/>
              </w:rPr>
            </w:pPr>
            <w:r>
              <w:rPr>
                <w:rFonts w:ascii="Arial" w:cs="Arial" w:eastAsia="Arial" w:hAnsi="Arial"/>
                <w:sz w:val="20"/>
                <w:szCs w:val="20"/>
                <w:color w:val="auto"/>
                <w:w w:val="99"/>
              </w:rPr>
              <w:t>Change</w:t>
            </w:r>
          </w:p>
        </w:tc>
        <w:tc>
          <w:tcPr>
            <w:tcW w:w="1520" w:type="dxa"/>
            <w:vAlign w:val="bottom"/>
            <w:tcBorders>
              <w:top w:val="single" w:sz="8" w:color="auto"/>
            </w:tcBorders>
            <w:vMerge w:val="restart"/>
          </w:tcPr>
          <w:p>
            <w:pPr>
              <w:ind w:left="40"/>
              <w:spacing w:after="0"/>
              <w:rPr>
                <w:sz w:val="20"/>
                <w:szCs w:val="20"/>
                <w:color w:val="auto"/>
              </w:rPr>
            </w:pPr>
            <w:r>
              <w:rPr>
                <w:rFonts w:ascii="Arial" w:cs="Arial" w:eastAsia="Arial" w:hAnsi="Arial"/>
                <w:sz w:val="20"/>
                <w:szCs w:val="20"/>
                <w:b w:val="1"/>
                <w:bCs w:val="1"/>
                <w:color w:val="auto"/>
              </w:rPr>
              <w:t>2026 Adjusted</w:t>
            </w:r>
          </w:p>
        </w:tc>
        <w:tc>
          <w:tcPr>
            <w:tcW w:w="1180" w:type="dxa"/>
            <w:vAlign w:val="bottom"/>
            <w:tcBorders>
              <w:top w:val="single" w:sz="8" w:color="auto"/>
            </w:tcBorders>
          </w:tcPr>
          <w:p>
            <w:pPr>
              <w:jc w:val="center"/>
              <w:spacing w:after="0" w:line="206" w:lineRule="exact"/>
              <w:rPr>
                <w:sz w:val="20"/>
                <w:szCs w:val="20"/>
                <w:color w:val="auto"/>
              </w:rPr>
            </w:pPr>
            <w:r>
              <w:rPr>
                <w:rFonts w:ascii="Arial" w:cs="Arial" w:eastAsia="Arial" w:hAnsi="Arial"/>
                <w:sz w:val="20"/>
                <w:szCs w:val="20"/>
                <w:b w:val="1"/>
                <w:bCs w:val="1"/>
                <w:color w:val="auto"/>
                <w:w w:val="98"/>
              </w:rPr>
              <w:t>2025</w:t>
            </w:r>
          </w:p>
        </w:tc>
        <w:tc>
          <w:tcPr>
            <w:tcW w:w="1240" w:type="dxa"/>
            <w:vAlign w:val="bottom"/>
            <w:tcBorders>
              <w:top w:val="single" w:sz="8" w:color="auto"/>
            </w:tcBorders>
            <w:vMerge w:val="restart"/>
          </w:tcPr>
          <w:p>
            <w:pPr>
              <w:jc w:val="center"/>
              <w:spacing w:after="0"/>
              <w:rPr>
                <w:sz w:val="20"/>
                <w:szCs w:val="20"/>
                <w:color w:val="auto"/>
              </w:rPr>
            </w:pPr>
            <w:r>
              <w:rPr>
                <w:rFonts w:ascii="Arial" w:cs="Arial" w:eastAsia="Arial" w:hAnsi="Arial"/>
                <w:sz w:val="20"/>
                <w:szCs w:val="20"/>
                <w:color w:val="auto"/>
                <w:w w:val="99"/>
              </w:rPr>
              <w:t>Change</w:t>
            </w:r>
          </w:p>
        </w:tc>
        <w:tc>
          <w:tcPr>
            <w:tcW w:w="1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53"/>
        </w:trPr>
        <w:tc>
          <w:tcPr>
            <w:tcW w:w="202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vMerge w:val="continue"/>
          </w:tcPr>
          <w:p>
            <w:pPr>
              <w:spacing w:after="0"/>
              <w:rPr>
                <w:sz w:val="22"/>
                <w:szCs w:val="22"/>
                <w:color w:val="auto"/>
              </w:rPr>
            </w:pPr>
          </w:p>
        </w:tc>
        <w:tc>
          <w:tcPr>
            <w:tcW w:w="1400" w:type="dxa"/>
            <w:vAlign w:val="bottom"/>
            <w:tcBorders>
              <w:bottom w:val="single" w:sz="8" w:color="auto"/>
            </w:tcBorders>
            <w:vMerge w:val="continue"/>
          </w:tcPr>
          <w:p>
            <w:pPr>
              <w:spacing w:after="0"/>
              <w:rPr>
                <w:sz w:val="22"/>
                <w:szCs w:val="22"/>
                <w:color w:val="auto"/>
              </w:rPr>
            </w:pPr>
          </w:p>
        </w:tc>
        <w:tc>
          <w:tcPr>
            <w:tcW w:w="1140" w:type="dxa"/>
            <w:vAlign w:val="bottom"/>
            <w:tcBorders>
              <w:bottom w:val="single" w:sz="8" w:color="auto"/>
            </w:tcBorders>
            <w:vMerge w:val="continue"/>
          </w:tcPr>
          <w:p>
            <w:pPr>
              <w:spacing w:after="0"/>
              <w:rPr>
                <w:sz w:val="22"/>
                <w:szCs w:val="22"/>
                <w:color w:val="auto"/>
              </w:rPr>
            </w:pPr>
          </w:p>
        </w:tc>
        <w:tc>
          <w:tcPr>
            <w:tcW w:w="1520" w:type="dxa"/>
            <w:vAlign w:val="bottom"/>
            <w:tcBorders>
              <w:bottom w:val="single" w:sz="8" w:color="auto"/>
            </w:tcBorders>
            <w:vMerge w:val="continue"/>
          </w:tcPr>
          <w:p>
            <w:pPr>
              <w:spacing w:after="0"/>
              <w:rPr>
                <w:sz w:val="22"/>
                <w:szCs w:val="22"/>
                <w:color w:val="auto"/>
              </w:rPr>
            </w:pPr>
          </w:p>
        </w:tc>
        <w:tc>
          <w:tcPr>
            <w:tcW w:w="1180" w:type="dxa"/>
            <w:vAlign w:val="bottom"/>
            <w:tcBorders>
              <w:bottom w:val="single" w:sz="8" w:color="auto"/>
            </w:tcBorders>
          </w:tcPr>
          <w:p>
            <w:pPr>
              <w:ind w:left="140"/>
              <w:spacing w:after="0"/>
              <w:rPr>
                <w:sz w:val="20"/>
                <w:szCs w:val="20"/>
                <w:color w:val="auto"/>
              </w:rPr>
            </w:pPr>
            <w:r>
              <w:rPr>
                <w:rFonts w:ascii="Arial" w:cs="Arial" w:eastAsia="Arial" w:hAnsi="Arial"/>
                <w:sz w:val="20"/>
                <w:szCs w:val="20"/>
                <w:b w:val="1"/>
                <w:bCs w:val="1"/>
                <w:color w:val="auto"/>
              </w:rPr>
              <w:t>Adjusted</w:t>
            </w:r>
          </w:p>
        </w:tc>
        <w:tc>
          <w:tcPr>
            <w:tcW w:w="1240" w:type="dxa"/>
            <w:vAlign w:val="bottom"/>
            <w:tcBorders>
              <w:bottom w:val="single" w:sz="8" w:color="auto"/>
            </w:tcBorders>
            <w:vMerge w:val="continue"/>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2"/>
        </w:trPr>
        <w:tc>
          <w:tcPr>
            <w:tcW w:w="2020" w:type="dxa"/>
            <w:vAlign w:val="bottom"/>
          </w:tcPr>
          <w:p>
            <w:pPr>
              <w:ind w:left="20"/>
              <w:spacing w:after="0"/>
              <w:rPr>
                <w:sz w:val="20"/>
                <w:szCs w:val="20"/>
                <w:color w:val="auto"/>
              </w:rPr>
            </w:pPr>
            <w:r>
              <w:rPr>
                <w:rFonts w:ascii="Arial" w:cs="Arial" w:eastAsia="Arial" w:hAnsi="Arial"/>
                <w:sz w:val="20"/>
                <w:szCs w:val="20"/>
                <w:color w:val="auto"/>
              </w:rPr>
              <w:t>Net Sales</w:t>
            </w:r>
          </w:p>
        </w:tc>
        <w:tc>
          <w:tcPr>
            <w:tcW w:w="1620" w:type="dxa"/>
            <w:vAlign w:val="bottom"/>
          </w:tcPr>
          <w:p>
            <w:pPr>
              <w:jc w:val="center"/>
              <w:ind w:left="181"/>
              <w:spacing w:after="0"/>
              <w:rPr>
                <w:sz w:val="20"/>
                <w:szCs w:val="20"/>
                <w:color w:val="auto"/>
              </w:rPr>
            </w:pPr>
            <w:r>
              <w:rPr>
                <w:rFonts w:ascii="Arial" w:cs="Arial" w:eastAsia="Arial" w:hAnsi="Arial"/>
                <w:sz w:val="20"/>
                <w:szCs w:val="20"/>
                <w:color w:val="auto"/>
                <w:w w:val="99"/>
              </w:rPr>
              <w:t>$21.3</w:t>
            </w:r>
          </w:p>
        </w:tc>
        <w:tc>
          <w:tcPr>
            <w:tcW w:w="1400" w:type="dxa"/>
            <w:vAlign w:val="bottom"/>
          </w:tcPr>
          <w:p>
            <w:pPr>
              <w:jc w:val="center"/>
              <w:spacing w:after="0"/>
              <w:rPr>
                <w:sz w:val="20"/>
                <w:szCs w:val="20"/>
                <w:color w:val="auto"/>
              </w:rPr>
            </w:pPr>
            <w:r>
              <w:rPr>
                <w:rFonts w:ascii="Arial" w:cs="Arial" w:eastAsia="Arial" w:hAnsi="Arial"/>
                <w:sz w:val="20"/>
                <w:szCs w:val="20"/>
                <w:color w:val="auto"/>
                <w:w w:val="95"/>
              </w:rPr>
              <w:t>$23.1</w:t>
            </w:r>
          </w:p>
        </w:tc>
        <w:tc>
          <w:tcPr>
            <w:tcW w:w="1140" w:type="dxa"/>
            <w:vAlign w:val="bottom"/>
            <w:tcBorders>
              <w:right w:val="single" w:sz="8" w:color="auto"/>
            </w:tcBorders>
          </w:tcPr>
          <w:p>
            <w:pPr>
              <w:jc w:val="right"/>
              <w:ind w:right="201"/>
              <w:spacing w:after="0"/>
              <w:rPr>
                <w:sz w:val="20"/>
                <w:szCs w:val="20"/>
                <w:color w:val="auto"/>
              </w:rPr>
            </w:pPr>
            <w:r>
              <w:rPr>
                <w:rFonts w:ascii="Arial" w:cs="Arial" w:eastAsia="Arial" w:hAnsi="Arial"/>
                <w:sz w:val="20"/>
                <w:szCs w:val="20"/>
                <w:color w:val="auto"/>
              </w:rPr>
              <w:t>(7.8)%</w:t>
            </w:r>
          </w:p>
        </w:tc>
        <w:tc>
          <w:tcPr>
            <w:tcW w:w="1520" w:type="dxa"/>
            <w:vAlign w:val="bottom"/>
          </w:tcPr>
          <w:p>
            <w:pPr>
              <w:jc w:val="center"/>
              <w:ind w:right="1"/>
              <w:spacing w:after="0"/>
              <w:rPr>
                <w:sz w:val="20"/>
                <w:szCs w:val="20"/>
                <w:color w:val="auto"/>
              </w:rPr>
            </w:pPr>
            <w:r>
              <w:rPr>
                <w:rFonts w:ascii="Arial" w:cs="Arial" w:eastAsia="Arial" w:hAnsi="Arial"/>
                <w:sz w:val="20"/>
                <w:szCs w:val="20"/>
                <w:color w:val="auto"/>
                <w:w w:val="99"/>
              </w:rPr>
              <w:t>$21.3</w:t>
            </w:r>
          </w:p>
        </w:tc>
        <w:tc>
          <w:tcPr>
            <w:tcW w:w="1180" w:type="dxa"/>
            <w:vAlign w:val="bottom"/>
          </w:tcPr>
          <w:p>
            <w:pPr>
              <w:jc w:val="center"/>
              <w:spacing w:after="0"/>
              <w:rPr>
                <w:sz w:val="20"/>
                <w:szCs w:val="20"/>
                <w:color w:val="auto"/>
              </w:rPr>
            </w:pPr>
            <w:r>
              <w:rPr>
                <w:rFonts w:ascii="Arial" w:cs="Arial" w:eastAsia="Arial" w:hAnsi="Arial"/>
                <w:sz w:val="20"/>
                <w:szCs w:val="20"/>
                <w:color w:val="auto"/>
                <w:w w:val="99"/>
              </w:rPr>
              <w:t>$23.1</w:t>
            </w:r>
          </w:p>
        </w:tc>
        <w:tc>
          <w:tcPr>
            <w:tcW w:w="1240" w:type="dxa"/>
            <w:vAlign w:val="bottom"/>
          </w:tcPr>
          <w:p>
            <w:pPr>
              <w:jc w:val="center"/>
              <w:spacing w:after="0"/>
              <w:rPr>
                <w:sz w:val="20"/>
                <w:szCs w:val="20"/>
                <w:color w:val="auto"/>
              </w:rPr>
            </w:pPr>
            <w:r>
              <w:rPr>
                <w:rFonts w:ascii="Arial" w:cs="Arial" w:eastAsia="Arial" w:hAnsi="Arial"/>
                <w:sz w:val="20"/>
                <w:szCs w:val="20"/>
                <w:color w:val="auto"/>
                <w:w w:val="98"/>
              </w:rPr>
              <w:t>(7.8)%</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2020" w:type="dxa"/>
            <w:vAlign w:val="bottom"/>
          </w:tcPr>
          <w:p>
            <w:pPr>
              <w:ind w:left="20"/>
              <w:spacing w:after="0"/>
              <w:rPr>
                <w:sz w:val="20"/>
                <w:szCs w:val="20"/>
                <w:color w:val="auto"/>
              </w:rPr>
            </w:pPr>
            <w:r>
              <w:rPr>
                <w:rFonts w:ascii="Arial" w:cs="Arial" w:eastAsia="Arial" w:hAnsi="Arial"/>
                <w:sz w:val="20"/>
                <w:szCs w:val="20"/>
                <w:color w:val="auto"/>
              </w:rPr>
              <w:t>Operating Income</w:t>
            </w:r>
          </w:p>
        </w:tc>
        <w:tc>
          <w:tcPr>
            <w:tcW w:w="1620" w:type="dxa"/>
            <w:vAlign w:val="bottom"/>
          </w:tcPr>
          <w:p>
            <w:pPr>
              <w:jc w:val="center"/>
              <w:ind w:left="181"/>
              <w:spacing w:after="0"/>
              <w:rPr>
                <w:sz w:val="20"/>
                <w:szCs w:val="20"/>
                <w:color w:val="auto"/>
              </w:rPr>
            </w:pPr>
            <w:r>
              <w:rPr>
                <w:rFonts w:ascii="Arial" w:cs="Arial" w:eastAsia="Arial" w:hAnsi="Arial"/>
                <w:sz w:val="20"/>
                <w:szCs w:val="20"/>
                <w:color w:val="auto"/>
                <w:w w:val="97"/>
              </w:rPr>
              <w:t>$4.2</w:t>
            </w:r>
          </w:p>
        </w:tc>
        <w:tc>
          <w:tcPr>
            <w:tcW w:w="1400" w:type="dxa"/>
            <w:vAlign w:val="bottom"/>
          </w:tcPr>
          <w:p>
            <w:pPr>
              <w:jc w:val="center"/>
              <w:spacing w:after="0"/>
              <w:rPr>
                <w:sz w:val="20"/>
                <w:szCs w:val="20"/>
                <w:color w:val="auto"/>
              </w:rPr>
            </w:pPr>
            <w:r>
              <w:rPr>
                <w:rFonts w:ascii="Arial" w:cs="Arial" w:eastAsia="Arial" w:hAnsi="Arial"/>
                <w:sz w:val="20"/>
                <w:szCs w:val="20"/>
                <w:color w:val="auto"/>
              </w:rPr>
              <w:t>$4.7</w:t>
            </w:r>
          </w:p>
        </w:tc>
        <w:tc>
          <w:tcPr>
            <w:tcW w:w="1140" w:type="dxa"/>
            <w:vAlign w:val="bottom"/>
            <w:tcBorders>
              <w:right w:val="single" w:sz="8" w:color="auto"/>
            </w:tcBorders>
          </w:tcPr>
          <w:p>
            <w:pPr>
              <w:jc w:val="right"/>
              <w:ind w:right="141"/>
              <w:spacing w:after="0"/>
              <w:rPr>
                <w:sz w:val="20"/>
                <w:szCs w:val="20"/>
                <w:color w:val="auto"/>
              </w:rPr>
            </w:pPr>
            <w:r>
              <w:rPr>
                <w:rFonts w:ascii="Arial" w:cs="Arial" w:eastAsia="Arial" w:hAnsi="Arial"/>
                <w:sz w:val="20"/>
                <w:szCs w:val="20"/>
                <w:color w:val="auto"/>
              </w:rPr>
              <w:t>(10.6)%</w:t>
            </w:r>
          </w:p>
        </w:tc>
        <w:tc>
          <w:tcPr>
            <w:tcW w:w="1520" w:type="dxa"/>
            <w:vAlign w:val="bottom"/>
          </w:tcPr>
          <w:p>
            <w:pPr>
              <w:jc w:val="center"/>
              <w:ind w:right="1"/>
              <w:spacing w:after="0"/>
              <w:rPr>
                <w:sz w:val="20"/>
                <w:szCs w:val="20"/>
                <w:color w:val="auto"/>
              </w:rPr>
            </w:pPr>
            <w:r>
              <w:rPr>
                <w:rFonts w:ascii="Arial" w:cs="Arial" w:eastAsia="Arial" w:hAnsi="Arial"/>
                <w:sz w:val="20"/>
                <w:szCs w:val="20"/>
                <w:color w:val="auto"/>
                <w:w w:val="97"/>
              </w:rPr>
              <w:t>$4.2</w:t>
            </w:r>
          </w:p>
        </w:tc>
        <w:tc>
          <w:tcPr>
            <w:tcW w:w="1180" w:type="dxa"/>
            <w:vAlign w:val="bottom"/>
          </w:tcPr>
          <w:p>
            <w:pPr>
              <w:jc w:val="center"/>
              <w:spacing w:after="0"/>
              <w:rPr>
                <w:sz w:val="20"/>
                <w:szCs w:val="20"/>
                <w:color w:val="auto"/>
              </w:rPr>
            </w:pPr>
            <w:r>
              <w:rPr>
                <w:rFonts w:ascii="Arial" w:cs="Arial" w:eastAsia="Arial" w:hAnsi="Arial"/>
                <w:sz w:val="20"/>
                <w:szCs w:val="20"/>
                <w:color w:val="auto"/>
              </w:rPr>
              <w:t>$4.7</w:t>
            </w:r>
          </w:p>
        </w:tc>
        <w:tc>
          <w:tcPr>
            <w:tcW w:w="1240" w:type="dxa"/>
            <w:vAlign w:val="bottom"/>
          </w:tcPr>
          <w:p>
            <w:pPr>
              <w:jc w:val="center"/>
              <w:spacing w:after="0"/>
              <w:rPr>
                <w:sz w:val="20"/>
                <w:szCs w:val="20"/>
                <w:color w:val="auto"/>
              </w:rPr>
            </w:pPr>
            <w:r>
              <w:rPr>
                <w:rFonts w:ascii="Arial" w:cs="Arial" w:eastAsia="Arial" w:hAnsi="Arial"/>
                <w:sz w:val="20"/>
                <w:szCs w:val="20"/>
                <w:color w:val="auto"/>
                <w:w w:val="99"/>
              </w:rPr>
              <w:t>(10.6)%</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020" w:type="dxa"/>
            <w:vAlign w:val="bottom"/>
          </w:tcPr>
          <w:p>
            <w:pPr>
              <w:ind w:left="20"/>
              <w:spacing w:after="0"/>
              <w:rPr>
                <w:sz w:val="20"/>
                <w:szCs w:val="20"/>
                <w:color w:val="auto"/>
              </w:rPr>
            </w:pPr>
            <w:r>
              <w:rPr>
                <w:rFonts w:ascii="Arial" w:cs="Arial" w:eastAsia="Arial" w:hAnsi="Arial"/>
                <w:sz w:val="20"/>
                <w:szCs w:val="20"/>
                <w:color w:val="auto"/>
              </w:rPr>
              <w:t>Operating Margin</w:t>
            </w:r>
          </w:p>
        </w:tc>
        <w:tc>
          <w:tcPr>
            <w:tcW w:w="1620" w:type="dxa"/>
            <w:vAlign w:val="bottom"/>
          </w:tcPr>
          <w:p>
            <w:pPr>
              <w:jc w:val="center"/>
              <w:ind w:left="161"/>
              <w:spacing w:after="0"/>
              <w:rPr>
                <w:sz w:val="20"/>
                <w:szCs w:val="20"/>
                <w:color w:val="auto"/>
              </w:rPr>
            </w:pPr>
            <w:r>
              <w:rPr>
                <w:rFonts w:ascii="Arial" w:cs="Arial" w:eastAsia="Arial" w:hAnsi="Arial"/>
                <w:sz w:val="20"/>
                <w:szCs w:val="20"/>
                <w:color w:val="auto"/>
                <w:w w:val="98"/>
              </w:rPr>
              <w:t>19.6%</w:t>
            </w:r>
          </w:p>
        </w:tc>
        <w:tc>
          <w:tcPr>
            <w:tcW w:w="1400" w:type="dxa"/>
            <w:vAlign w:val="bottom"/>
          </w:tcPr>
          <w:p>
            <w:pPr>
              <w:jc w:val="center"/>
              <w:spacing w:after="0"/>
              <w:rPr>
                <w:sz w:val="20"/>
                <w:szCs w:val="20"/>
                <w:color w:val="auto"/>
              </w:rPr>
            </w:pPr>
            <w:r>
              <w:rPr>
                <w:rFonts w:ascii="Arial" w:cs="Arial" w:eastAsia="Arial" w:hAnsi="Arial"/>
                <w:sz w:val="20"/>
                <w:szCs w:val="20"/>
                <w:color w:val="auto"/>
                <w:w w:val="98"/>
              </w:rPr>
              <w:t>20.5%</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8"/>
              </w:rPr>
              <w:t>(90) bps</w:t>
            </w:r>
          </w:p>
        </w:tc>
        <w:tc>
          <w:tcPr>
            <w:tcW w:w="1520" w:type="dxa"/>
            <w:vAlign w:val="bottom"/>
          </w:tcPr>
          <w:p>
            <w:pPr>
              <w:jc w:val="center"/>
              <w:spacing w:after="0"/>
              <w:rPr>
                <w:sz w:val="20"/>
                <w:szCs w:val="20"/>
                <w:color w:val="auto"/>
              </w:rPr>
            </w:pPr>
            <w:r>
              <w:rPr>
                <w:rFonts w:ascii="Arial" w:cs="Arial" w:eastAsia="Arial" w:hAnsi="Arial"/>
                <w:sz w:val="20"/>
                <w:szCs w:val="20"/>
                <w:color w:val="auto"/>
                <w:w w:val="98"/>
              </w:rPr>
              <w:t>19.6%</w:t>
            </w:r>
          </w:p>
        </w:tc>
        <w:tc>
          <w:tcPr>
            <w:tcW w:w="1180" w:type="dxa"/>
            <w:vAlign w:val="bottom"/>
          </w:tcPr>
          <w:p>
            <w:pPr>
              <w:jc w:val="center"/>
              <w:spacing w:after="0"/>
              <w:rPr>
                <w:sz w:val="20"/>
                <w:szCs w:val="20"/>
                <w:color w:val="auto"/>
              </w:rPr>
            </w:pPr>
            <w:r>
              <w:rPr>
                <w:rFonts w:ascii="Arial" w:cs="Arial" w:eastAsia="Arial" w:hAnsi="Arial"/>
                <w:sz w:val="20"/>
                <w:szCs w:val="20"/>
                <w:color w:val="auto"/>
                <w:w w:val="98"/>
              </w:rPr>
              <w:t>20.5%</w:t>
            </w:r>
          </w:p>
        </w:tc>
        <w:tc>
          <w:tcPr>
            <w:tcW w:w="1240" w:type="dxa"/>
            <w:vAlign w:val="bottom"/>
          </w:tcPr>
          <w:p>
            <w:pPr>
              <w:jc w:val="center"/>
              <w:spacing w:after="0"/>
              <w:rPr>
                <w:sz w:val="20"/>
                <w:szCs w:val="20"/>
                <w:color w:val="auto"/>
              </w:rPr>
            </w:pPr>
            <w:r>
              <w:rPr>
                <w:rFonts w:ascii="Arial" w:cs="Arial" w:eastAsia="Arial" w:hAnsi="Arial"/>
                <w:sz w:val="20"/>
                <w:szCs w:val="20"/>
                <w:color w:val="auto"/>
                <w:w w:val="98"/>
              </w:rPr>
              <w:t>(90) bps</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2020" w:type="dxa"/>
            <w:vAlign w:val="bottom"/>
          </w:tcPr>
          <w:p>
            <w:pPr>
              <w:ind w:left="20"/>
              <w:spacing w:after="0"/>
              <w:rPr>
                <w:sz w:val="20"/>
                <w:szCs w:val="20"/>
                <w:color w:val="auto"/>
              </w:rPr>
            </w:pPr>
            <w:r>
              <w:rPr>
                <w:rFonts w:ascii="Arial" w:cs="Arial" w:eastAsia="Arial" w:hAnsi="Arial"/>
                <w:sz w:val="20"/>
                <w:szCs w:val="20"/>
                <w:color w:val="auto"/>
              </w:rPr>
              <w:t>EBITDA</w:t>
            </w:r>
          </w:p>
        </w:tc>
        <w:tc>
          <w:tcPr>
            <w:tcW w:w="1620" w:type="dxa"/>
            <w:vAlign w:val="bottom"/>
          </w:tcPr>
          <w:p>
            <w:pPr>
              <w:jc w:val="center"/>
              <w:ind w:left="181"/>
              <w:spacing w:after="0"/>
              <w:rPr>
                <w:sz w:val="20"/>
                <w:szCs w:val="20"/>
                <w:color w:val="auto"/>
              </w:rPr>
            </w:pPr>
            <w:r>
              <w:rPr>
                <w:rFonts w:ascii="Arial" w:cs="Arial" w:eastAsia="Arial" w:hAnsi="Arial"/>
                <w:sz w:val="20"/>
                <w:szCs w:val="20"/>
                <w:color w:val="auto"/>
              </w:rPr>
              <w:t>N/A</w:t>
            </w:r>
          </w:p>
        </w:tc>
        <w:tc>
          <w:tcPr>
            <w:tcW w:w="1400" w:type="dxa"/>
            <w:vAlign w:val="bottom"/>
          </w:tcPr>
          <w:p>
            <w:pPr>
              <w:jc w:val="center"/>
              <w:spacing w:after="0"/>
              <w:rPr>
                <w:sz w:val="20"/>
                <w:szCs w:val="20"/>
                <w:color w:val="auto"/>
              </w:rPr>
            </w:pPr>
            <w:r>
              <w:rPr>
                <w:rFonts w:ascii="Arial" w:cs="Arial" w:eastAsia="Arial" w:hAnsi="Arial"/>
                <w:sz w:val="20"/>
                <w:szCs w:val="20"/>
                <w:color w:val="auto"/>
                <w:w w:val="95"/>
              </w:rPr>
              <w:t>N/A</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5"/>
              </w:rPr>
              <w:t>N/A</w:t>
            </w:r>
          </w:p>
        </w:tc>
        <w:tc>
          <w:tcPr>
            <w:tcW w:w="1520" w:type="dxa"/>
            <w:vAlign w:val="bottom"/>
          </w:tcPr>
          <w:p>
            <w:pPr>
              <w:jc w:val="center"/>
              <w:ind w:right="1"/>
              <w:spacing w:after="0"/>
              <w:rPr>
                <w:sz w:val="20"/>
                <w:szCs w:val="20"/>
                <w:color w:val="auto"/>
              </w:rPr>
            </w:pPr>
            <w:r>
              <w:rPr>
                <w:rFonts w:ascii="Arial" w:cs="Arial" w:eastAsia="Arial" w:hAnsi="Arial"/>
                <w:sz w:val="20"/>
                <w:szCs w:val="20"/>
                <w:color w:val="auto"/>
                <w:w w:val="97"/>
              </w:rPr>
              <w:t>$4.6</w:t>
            </w:r>
          </w:p>
        </w:tc>
        <w:tc>
          <w:tcPr>
            <w:tcW w:w="1180" w:type="dxa"/>
            <w:vAlign w:val="bottom"/>
          </w:tcPr>
          <w:p>
            <w:pPr>
              <w:jc w:val="center"/>
              <w:spacing w:after="0"/>
              <w:rPr>
                <w:sz w:val="20"/>
                <w:szCs w:val="20"/>
                <w:color w:val="auto"/>
              </w:rPr>
            </w:pPr>
            <w:r>
              <w:rPr>
                <w:rFonts w:ascii="Arial" w:cs="Arial" w:eastAsia="Arial" w:hAnsi="Arial"/>
                <w:sz w:val="20"/>
                <w:szCs w:val="20"/>
                <w:color w:val="auto"/>
              </w:rPr>
              <w:t>$5.5</w:t>
            </w:r>
          </w:p>
        </w:tc>
        <w:tc>
          <w:tcPr>
            <w:tcW w:w="1240" w:type="dxa"/>
            <w:vAlign w:val="bottom"/>
          </w:tcPr>
          <w:p>
            <w:pPr>
              <w:jc w:val="center"/>
              <w:spacing w:after="0"/>
              <w:rPr>
                <w:sz w:val="20"/>
                <w:szCs w:val="20"/>
                <w:color w:val="auto"/>
              </w:rPr>
            </w:pPr>
            <w:r>
              <w:rPr>
                <w:rFonts w:ascii="Arial" w:cs="Arial" w:eastAsia="Arial" w:hAnsi="Arial"/>
                <w:sz w:val="20"/>
                <w:szCs w:val="20"/>
                <w:color w:val="auto"/>
                <w:w w:val="99"/>
              </w:rPr>
              <w:t>(16.4)%</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2020" w:type="dxa"/>
            <w:vAlign w:val="bottom"/>
          </w:tcPr>
          <w:p>
            <w:pPr>
              <w:ind w:left="20"/>
              <w:spacing w:after="0"/>
              <w:rPr>
                <w:sz w:val="20"/>
                <w:szCs w:val="20"/>
                <w:color w:val="auto"/>
              </w:rPr>
            </w:pPr>
            <w:r>
              <w:rPr>
                <w:rFonts w:ascii="Arial" w:cs="Arial" w:eastAsia="Arial" w:hAnsi="Arial"/>
                <w:sz w:val="20"/>
                <w:szCs w:val="20"/>
                <w:color w:val="auto"/>
              </w:rPr>
              <w:t>EBITDA Margin</w:t>
            </w:r>
          </w:p>
        </w:tc>
        <w:tc>
          <w:tcPr>
            <w:tcW w:w="1620" w:type="dxa"/>
            <w:vAlign w:val="bottom"/>
          </w:tcPr>
          <w:p>
            <w:pPr>
              <w:jc w:val="center"/>
              <w:ind w:left="181"/>
              <w:spacing w:after="0"/>
              <w:rPr>
                <w:sz w:val="20"/>
                <w:szCs w:val="20"/>
                <w:color w:val="auto"/>
              </w:rPr>
            </w:pPr>
            <w:r>
              <w:rPr>
                <w:rFonts w:ascii="Arial" w:cs="Arial" w:eastAsia="Arial" w:hAnsi="Arial"/>
                <w:sz w:val="20"/>
                <w:szCs w:val="20"/>
                <w:color w:val="auto"/>
              </w:rPr>
              <w:t>N/A</w:t>
            </w:r>
          </w:p>
        </w:tc>
        <w:tc>
          <w:tcPr>
            <w:tcW w:w="1400" w:type="dxa"/>
            <w:vAlign w:val="bottom"/>
          </w:tcPr>
          <w:p>
            <w:pPr>
              <w:jc w:val="center"/>
              <w:spacing w:after="0"/>
              <w:rPr>
                <w:sz w:val="20"/>
                <w:szCs w:val="20"/>
                <w:color w:val="auto"/>
              </w:rPr>
            </w:pPr>
            <w:r>
              <w:rPr>
                <w:rFonts w:ascii="Arial" w:cs="Arial" w:eastAsia="Arial" w:hAnsi="Arial"/>
                <w:sz w:val="20"/>
                <w:szCs w:val="20"/>
                <w:color w:val="auto"/>
                <w:w w:val="95"/>
              </w:rPr>
              <w:t>N/A</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5"/>
              </w:rPr>
              <w:t>N/A</w:t>
            </w:r>
          </w:p>
        </w:tc>
        <w:tc>
          <w:tcPr>
            <w:tcW w:w="1520" w:type="dxa"/>
            <w:vAlign w:val="bottom"/>
          </w:tcPr>
          <w:p>
            <w:pPr>
              <w:jc w:val="center"/>
              <w:spacing w:after="0"/>
              <w:rPr>
                <w:sz w:val="20"/>
                <w:szCs w:val="20"/>
                <w:color w:val="auto"/>
              </w:rPr>
            </w:pPr>
            <w:r>
              <w:rPr>
                <w:rFonts w:ascii="Arial" w:cs="Arial" w:eastAsia="Arial" w:hAnsi="Arial"/>
                <w:sz w:val="20"/>
                <w:szCs w:val="20"/>
                <w:color w:val="auto"/>
                <w:w w:val="98"/>
              </w:rPr>
              <w:t>21.7%</w:t>
            </w:r>
          </w:p>
        </w:tc>
        <w:tc>
          <w:tcPr>
            <w:tcW w:w="1180" w:type="dxa"/>
            <w:vAlign w:val="bottom"/>
          </w:tcPr>
          <w:p>
            <w:pPr>
              <w:jc w:val="center"/>
              <w:spacing w:after="0"/>
              <w:rPr>
                <w:sz w:val="20"/>
                <w:szCs w:val="20"/>
                <w:color w:val="auto"/>
              </w:rPr>
            </w:pPr>
            <w:r>
              <w:rPr>
                <w:rFonts w:ascii="Arial" w:cs="Arial" w:eastAsia="Arial" w:hAnsi="Arial"/>
                <w:sz w:val="20"/>
                <w:szCs w:val="20"/>
                <w:color w:val="auto"/>
                <w:w w:val="98"/>
              </w:rPr>
              <w:t>24.0%</w:t>
            </w:r>
          </w:p>
        </w:tc>
        <w:tc>
          <w:tcPr>
            <w:tcW w:w="1240" w:type="dxa"/>
            <w:vAlign w:val="bottom"/>
          </w:tcPr>
          <w:p>
            <w:pPr>
              <w:jc w:val="center"/>
              <w:spacing w:after="0"/>
              <w:rPr>
                <w:sz w:val="20"/>
                <w:szCs w:val="20"/>
                <w:color w:val="auto"/>
              </w:rPr>
            </w:pPr>
            <w:r>
              <w:rPr>
                <w:rFonts w:ascii="Arial" w:cs="Arial" w:eastAsia="Arial" w:hAnsi="Arial"/>
                <w:sz w:val="20"/>
                <w:szCs w:val="20"/>
                <w:color w:val="auto"/>
                <w:w w:val="99"/>
              </w:rPr>
              <w:t>(230) bps</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181" w:lineRule="exact"/>
        <w:rPr>
          <w:sz w:val="20"/>
          <w:szCs w:val="20"/>
          <w:color w:val="auto"/>
        </w:rPr>
      </w:pPr>
    </w:p>
    <w:p>
      <w:pPr>
        <w:spacing w:after="0"/>
        <w:rPr>
          <w:sz w:val="20"/>
          <w:szCs w:val="20"/>
          <w:color w:val="auto"/>
        </w:rPr>
      </w:pPr>
      <w:r>
        <w:rPr>
          <w:rFonts w:ascii="Arial" w:cs="Arial" w:eastAsia="Arial" w:hAnsi="Arial"/>
          <w:sz w:val="20"/>
          <w:szCs w:val="20"/>
          <w:color w:val="auto"/>
        </w:rPr>
        <w:t>Sales decreased $1.8 million and order backlog increased 10% Margin was impacted by lower volume and product mix.</w:t>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Balance Sheet and Cash Flow</w:t>
      </w:r>
    </w:p>
    <w:p>
      <w:pPr>
        <w:spacing w:after="0" w:line="110" w:lineRule="exact"/>
        <w:rPr>
          <w:sz w:val="20"/>
          <w:szCs w:val="20"/>
          <w:color w:val="auto"/>
        </w:rPr>
      </w:pPr>
    </w:p>
    <w:p>
      <w:pPr>
        <w:ind w:right="20"/>
        <w:spacing w:after="0" w:line="286" w:lineRule="auto"/>
        <w:rPr>
          <w:sz w:val="20"/>
          <w:szCs w:val="20"/>
          <w:color w:val="auto"/>
        </w:rPr>
      </w:pPr>
      <w:r>
        <w:rPr>
          <w:rFonts w:ascii="Arial" w:cs="Arial" w:eastAsia="Arial" w:hAnsi="Arial"/>
          <w:sz w:val="20"/>
          <w:szCs w:val="20"/>
          <w:color w:val="auto"/>
        </w:rPr>
        <w:t>Gibraltar’s policy with respect to cash allocation will be to keep a minimum amount of cash on hand, use the revolver as needed to fund seasonal working capital and pay down debt with excess cash flow.</w:t>
      </w:r>
    </w:p>
    <w:p>
      <w:pPr>
        <w:spacing w:after="0" w:line="32" w:lineRule="exact"/>
        <w:rPr>
          <w:sz w:val="20"/>
          <w:szCs w:val="20"/>
          <w:color w:val="auto"/>
        </w:rPr>
      </w:pPr>
    </w:p>
    <w:p>
      <w:pPr>
        <w:ind w:right="20"/>
        <w:spacing w:after="0" w:line="286" w:lineRule="auto"/>
        <w:rPr>
          <w:sz w:val="20"/>
          <w:szCs w:val="20"/>
          <w:color w:val="auto"/>
        </w:rPr>
      </w:pPr>
      <w:r>
        <w:rPr>
          <w:rFonts w:ascii="Arial" w:cs="Arial" w:eastAsia="Arial" w:hAnsi="Arial"/>
          <w:sz w:val="20"/>
          <w:szCs w:val="20"/>
          <w:color w:val="auto"/>
        </w:rPr>
        <w:t>During the quarter, Gibraltar generated $9.4 million from continuing operations; discontinued operations used $8.2 million in cash. Net debt on the balance sheet was $1.2 billion and revolving credit facility availability was $451 million at quarter-end.</w:t>
      </w:r>
    </w:p>
    <w:p>
      <w:pPr>
        <w:sectPr>
          <w:pgSz w:w="11900" w:h="16838" w:orient="portrait"/>
          <w:cols w:equalWidth="0" w:num="1">
            <w:col w:w="11240"/>
          </w:cols>
          <w:pgMar w:left="320" w:top="1373" w:right="339" w:bottom="1440" w:gutter="0" w:footer="0" w:header="0"/>
        </w:sectPr>
      </w:pPr>
    </w:p>
    <w:bookmarkStart w:id="6" w:name="page7"/>
    <w:bookmarkEnd w:id="6"/>
    <w:p>
      <w:pPr>
        <w:spacing w:after="0" w:line="4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5205730</wp:posOffset>
            </wp:positionH>
            <wp:positionV relativeFrom="page">
              <wp:posOffset>243205</wp:posOffset>
            </wp:positionV>
            <wp:extent cx="2134235" cy="2743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2134235" cy="274320"/>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b w:val="1"/>
          <w:bCs w:val="1"/>
          <w:color w:val="auto"/>
        </w:rPr>
        <w:t>Adjusting 2026 Outlook Range for Continuing Operations</w:t>
      </w:r>
    </w:p>
    <w:p>
      <w:pPr>
        <w:spacing w:after="0" w:line="123"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On October 15, 2026 Gibraltar announced that it has entered into an agreement to divest its Infrastructure business, D.S. Brown, for $208 million in cash, subject to customary post-closing adjustments; the transaction is expected to close during the fourth quarter. As a result, this segment will be reclassified as a discontinued operation as of the fourth quarter of 2026.</w:t>
      </w:r>
    </w:p>
    <w:p>
      <w:pPr>
        <w:spacing w:after="0" w:line="57" w:lineRule="exact"/>
        <w:rPr>
          <w:sz w:val="20"/>
          <w:szCs w:val="20"/>
          <w:color w:val="auto"/>
        </w:rPr>
      </w:pPr>
    </w:p>
    <w:p>
      <w:pPr>
        <w:jc w:val="both"/>
        <w:ind w:right="20"/>
        <w:spacing w:after="0" w:line="286" w:lineRule="auto"/>
        <w:rPr>
          <w:sz w:val="20"/>
          <w:szCs w:val="20"/>
          <w:color w:val="auto"/>
        </w:rPr>
      </w:pPr>
      <w:r>
        <w:rPr>
          <w:rFonts w:ascii="Arial" w:cs="Arial" w:eastAsia="Arial" w:hAnsi="Arial"/>
          <w:sz w:val="20"/>
          <w:szCs w:val="20"/>
          <w:color w:val="auto"/>
        </w:rPr>
        <w:t>Taking into consideration lower than expected third quarter results, a lower fourth quarter outlook and the reclassification of Infrastructure as a discontinued operation, Gibraltar is adjusting its 2026 outlook for continuing operations.</w:t>
      </w:r>
    </w:p>
    <w:p>
      <w:pPr>
        <w:spacing w:after="0" w:line="46" w:lineRule="exact"/>
        <w:rPr>
          <w:sz w:val="20"/>
          <w:szCs w:val="20"/>
          <w:color w:val="auto"/>
        </w:rPr>
      </w:pPr>
    </w:p>
    <w:p>
      <w:pPr>
        <w:jc w:val="both"/>
        <w:spacing w:after="0" w:line="255" w:lineRule="auto"/>
        <w:rPr>
          <w:sz w:val="20"/>
          <w:szCs w:val="20"/>
          <w:color w:val="auto"/>
        </w:rPr>
      </w:pPr>
      <w:r>
        <w:rPr>
          <w:rFonts w:ascii="Arial" w:cs="Arial" w:eastAsia="Arial" w:hAnsi="Arial"/>
          <w:sz w:val="20"/>
          <w:szCs w:val="20"/>
          <w:color w:val="auto"/>
        </w:rPr>
        <w:t>Mr. Bosway concluded, “Our teams have the experience and skill to execute through prolonged, tough market environments and we are now significantly better positioned in combination with OmniMax to do so. Our revised outlook for continuing operations assumes the market will not strengthen in the near term, and we are taking all resulting integration, lean, simplification and pricing actions to serve our customers with excellence and preserve our margins.”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3320" w:type="dxa"/>
            <w:vAlign w:val="bottom"/>
            <w:tcBorders>
              <w:top w:val="single" w:sz="8" w:color="auto"/>
            </w:tcBorders>
          </w:tcPr>
          <w:p>
            <w:pPr>
              <w:spacing w:after="0"/>
              <w:rPr>
                <w:sz w:val="22"/>
                <w:szCs w:val="22"/>
                <w:color w:val="auto"/>
              </w:rPr>
            </w:pPr>
          </w:p>
        </w:tc>
        <w:tc>
          <w:tcPr>
            <w:tcW w:w="840" w:type="dxa"/>
            <w:vAlign w:val="bottom"/>
            <w:tcBorders>
              <w:top w:val="single" w:sz="8" w:color="auto"/>
            </w:tcBorders>
          </w:tcPr>
          <w:p>
            <w:pPr>
              <w:spacing w:after="0"/>
              <w:rPr>
                <w:sz w:val="22"/>
                <w:szCs w:val="22"/>
                <w:color w:val="auto"/>
              </w:rPr>
            </w:pPr>
          </w:p>
        </w:tc>
        <w:tc>
          <w:tcPr>
            <w:tcW w:w="520" w:type="dxa"/>
            <w:vAlign w:val="bottom"/>
            <w:tcBorders>
              <w:top w:val="single" w:sz="8" w:color="auto"/>
            </w:tcBorders>
          </w:tcPr>
          <w:p>
            <w:pPr>
              <w:spacing w:after="0"/>
              <w:rPr>
                <w:sz w:val="22"/>
                <w:szCs w:val="22"/>
                <w:color w:val="auto"/>
              </w:rPr>
            </w:pPr>
          </w:p>
        </w:tc>
        <w:tc>
          <w:tcPr>
            <w:tcW w:w="660" w:type="dxa"/>
            <w:vAlign w:val="bottom"/>
            <w:tcBorders>
              <w:top w:val="single" w:sz="8" w:color="auto"/>
            </w:tcBorders>
          </w:tcPr>
          <w:p>
            <w:pPr>
              <w:spacing w:after="0"/>
              <w:rPr>
                <w:sz w:val="22"/>
                <w:szCs w:val="22"/>
                <w:color w:val="auto"/>
              </w:rPr>
            </w:pPr>
          </w:p>
        </w:tc>
        <w:tc>
          <w:tcPr>
            <w:tcW w:w="800" w:type="dxa"/>
            <w:vAlign w:val="bottom"/>
            <w:tcBorders>
              <w:top w:val="single" w:sz="8" w:color="auto"/>
            </w:tcBorders>
          </w:tcPr>
          <w:p>
            <w:pPr>
              <w:spacing w:after="0"/>
              <w:rPr>
                <w:sz w:val="22"/>
                <w:szCs w:val="22"/>
                <w:color w:val="auto"/>
              </w:rPr>
            </w:pPr>
          </w:p>
        </w:tc>
        <w:tc>
          <w:tcPr>
            <w:tcW w:w="940" w:type="dxa"/>
            <w:vAlign w:val="bottom"/>
            <w:tcBorders>
              <w:top w:val="single" w:sz="8" w:color="auto"/>
            </w:tcBorders>
          </w:tcPr>
          <w:p>
            <w:pPr>
              <w:spacing w:after="0"/>
              <w:rPr>
                <w:sz w:val="22"/>
                <w:szCs w:val="22"/>
                <w:color w:val="auto"/>
              </w:rPr>
            </w:pPr>
          </w:p>
        </w:tc>
        <w:tc>
          <w:tcPr>
            <w:tcW w:w="2140" w:type="dxa"/>
            <w:vAlign w:val="bottom"/>
            <w:tcBorders>
              <w:top w:val="single" w:sz="8" w:color="auto"/>
            </w:tcBorders>
            <w:gridSpan w:val="4"/>
          </w:tcPr>
          <w:p>
            <w:pPr>
              <w:ind w:left="620"/>
              <w:spacing w:after="0"/>
              <w:rPr>
                <w:sz w:val="20"/>
                <w:szCs w:val="20"/>
                <w:color w:val="auto"/>
              </w:rPr>
            </w:pPr>
            <w:r>
              <w:rPr>
                <w:rFonts w:ascii="Arial" w:cs="Arial" w:eastAsia="Arial" w:hAnsi="Arial"/>
                <w:sz w:val="20"/>
                <w:szCs w:val="20"/>
                <w:color w:val="auto"/>
              </w:rPr>
              <w:t>Revised 2026</w:t>
            </w:r>
          </w:p>
        </w:tc>
        <w:tc>
          <w:tcPr>
            <w:tcW w:w="380" w:type="dxa"/>
            <w:vAlign w:val="bottom"/>
            <w:tcBorders>
              <w:top w:val="single" w:sz="8" w:color="auto"/>
            </w:tcBorders>
          </w:tcPr>
          <w:p>
            <w:pPr>
              <w:spacing w:after="0"/>
              <w:rPr>
                <w:sz w:val="22"/>
                <w:szCs w:val="22"/>
                <w:color w:val="auto"/>
              </w:rPr>
            </w:pPr>
          </w:p>
        </w:tc>
        <w:tc>
          <w:tcPr>
            <w:tcW w:w="92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r>
      <w:tr>
        <w:trPr>
          <w:trHeight w:val="211"/>
        </w:trPr>
        <w:tc>
          <w:tcPr>
            <w:tcW w:w="3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180" w:type="dxa"/>
            <w:vAlign w:val="bottom"/>
            <w:gridSpan w:val="2"/>
          </w:tcPr>
          <w:p>
            <w:pPr>
              <w:spacing w:after="0" w:line="210" w:lineRule="exact"/>
              <w:rPr>
                <w:sz w:val="20"/>
                <w:szCs w:val="20"/>
                <w:color w:val="auto"/>
              </w:rPr>
            </w:pPr>
            <w:r>
              <w:rPr>
                <w:rFonts w:ascii="Arial" w:cs="Arial" w:eastAsia="Arial" w:hAnsi="Arial"/>
                <w:sz w:val="20"/>
                <w:szCs w:val="20"/>
                <w:color w:val="auto"/>
                <w:w w:val="97"/>
              </w:rPr>
              <w:t>Original 2026</w:t>
            </w:r>
          </w:p>
        </w:tc>
        <w:tc>
          <w:tcPr>
            <w:tcW w:w="800" w:type="dxa"/>
            <w:vAlign w:val="bottom"/>
          </w:tcPr>
          <w:p>
            <w:pPr>
              <w:spacing w:after="0"/>
              <w:rPr>
                <w:sz w:val="18"/>
                <w:szCs w:val="18"/>
                <w:color w:val="auto"/>
              </w:rPr>
            </w:pPr>
          </w:p>
        </w:tc>
        <w:tc>
          <w:tcPr>
            <w:tcW w:w="2160" w:type="dxa"/>
            <w:vAlign w:val="bottom"/>
            <w:gridSpan w:val="3"/>
          </w:tcPr>
          <w:p>
            <w:pPr>
              <w:spacing w:after="0" w:line="210" w:lineRule="exact"/>
              <w:rPr>
                <w:sz w:val="20"/>
                <w:szCs w:val="20"/>
                <w:color w:val="auto"/>
              </w:rPr>
            </w:pPr>
            <w:r>
              <w:rPr>
                <w:rFonts w:ascii="Arial" w:cs="Arial" w:eastAsia="Arial" w:hAnsi="Arial"/>
                <w:sz w:val="20"/>
                <w:szCs w:val="20"/>
                <w:color w:val="auto"/>
              </w:rPr>
              <w:t>Including Infrastructure</w:t>
            </w:r>
          </w:p>
        </w:tc>
        <w:tc>
          <w:tcPr>
            <w:tcW w:w="2340" w:type="dxa"/>
            <w:vAlign w:val="bottom"/>
            <w:gridSpan w:val="5"/>
          </w:tcPr>
          <w:p>
            <w:pPr>
              <w:ind w:left="140"/>
              <w:spacing w:after="0" w:line="210" w:lineRule="exact"/>
              <w:rPr>
                <w:sz w:val="20"/>
                <w:szCs w:val="20"/>
                <w:color w:val="auto"/>
              </w:rPr>
            </w:pPr>
            <w:r>
              <w:rPr>
                <w:rFonts w:ascii="Arial" w:cs="Arial" w:eastAsia="Arial" w:hAnsi="Arial"/>
                <w:sz w:val="20"/>
                <w:szCs w:val="20"/>
                <w:color w:val="auto"/>
              </w:rPr>
              <w:t>Excluding Infrastructure</w:t>
            </w:r>
          </w:p>
        </w:tc>
      </w:tr>
      <w:tr>
        <w:trPr>
          <w:trHeight w:val="301"/>
        </w:trPr>
        <w:tc>
          <w:tcPr>
            <w:tcW w:w="3320" w:type="dxa"/>
            <w:vAlign w:val="bottom"/>
          </w:tcPr>
          <w:p>
            <w:pPr>
              <w:ind w:left="20"/>
              <w:spacing w:after="0"/>
              <w:rPr>
                <w:sz w:val="20"/>
                <w:szCs w:val="20"/>
                <w:color w:val="auto"/>
              </w:rPr>
            </w:pPr>
            <w:r>
              <w:rPr>
                <w:rFonts w:ascii="Arial" w:cs="Arial" w:eastAsia="Arial" w:hAnsi="Arial"/>
                <w:sz w:val="20"/>
                <w:szCs w:val="20"/>
                <w:color w:val="auto"/>
              </w:rPr>
              <w:t xml:space="preserve">Net Sales </w:t>
            </w:r>
            <w:r>
              <w:rPr>
                <w:rFonts w:ascii="Arial" w:cs="Arial" w:eastAsia="Arial" w:hAnsi="Arial"/>
                <w:sz w:val="17"/>
                <w:szCs w:val="17"/>
                <w:i w:val="1"/>
                <w:iCs w:val="1"/>
                <w:color w:val="auto"/>
              </w:rPr>
              <w:t>(in billions)</w:t>
            </w:r>
          </w:p>
        </w:tc>
        <w:tc>
          <w:tcPr>
            <w:tcW w:w="840" w:type="dxa"/>
            <w:vAlign w:val="bottom"/>
          </w:tcPr>
          <w:p>
            <w:pPr>
              <w:spacing w:after="0"/>
              <w:rPr>
                <w:sz w:val="24"/>
                <w:szCs w:val="24"/>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w w:val="95"/>
              </w:rPr>
              <w:t>$1.76</w:t>
            </w:r>
          </w:p>
        </w:tc>
        <w:tc>
          <w:tcPr>
            <w:tcW w:w="660" w:type="dxa"/>
            <w:vAlign w:val="bottom"/>
            <w:tcBorders>
              <w:top w:val="single" w:sz="8" w:color="auto"/>
            </w:tcBorders>
          </w:tcPr>
          <w:p>
            <w:pPr>
              <w:ind w:left="40"/>
              <w:spacing w:after="0"/>
              <w:rPr>
                <w:sz w:val="20"/>
                <w:szCs w:val="20"/>
                <w:color w:val="auto"/>
              </w:rPr>
            </w:pPr>
            <w:r>
              <w:rPr>
                <w:rFonts w:ascii="Arial" w:cs="Arial" w:eastAsia="Arial" w:hAnsi="Arial"/>
                <w:sz w:val="20"/>
                <w:szCs w:val="20"/>
                <w:color w:val="auto"/>
                <w:w w:val="96"/>
              </w:rPr>
              <w:t>- $1.83</w:t>
            </w:r>
          </w:p>
        </w:tc>
        <w:tc>
          <w:tcPr>
            <w:tcW w:w="800" w:type="dxa"/>
            <w:vAlign w:val="bottom"/>
          </w:tcPr>
          <w:p>
            <w:pPr>
              <w:spacing w:after="0"/>
              <w:rPr>
                <w:sz w:val="24"/>
                <w:szCs w:val="24"/>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$1.73</w:t>
            </w:r>
          </w:p>
        </w:tc>
        <w:tc>
          <w:tcPr>
            <w:tcW w:w="1060" w:type="dxa"/>
            <w:vAlign w:val="bottom"/>
            <w:tcBorders>
              <w:top w:val="single" w:sz="8" w:color="auto"/>
            </w:tcBorders>
          </w:tcPr>
          <w:p>
            <w:pPr>
              <w:ind w:left="20"/>
              <w:spacing w:after="0"/>
              <w:rPr>
                <w:sz w:val="20"/>
                <w:szCs w:val="20"/>
                <w:color w:val="auto"/>
              </w:rPr>
            </w:pPr>
            <w:r>
              <w:rPr>
                <w:rFonts w:ascii="Arial" w:cs="Arial" w:eastAsia="Arial" w:hAnsi="Arial"/>
                <w:sz w:val="20"/>
                <w:szCs w:val="20"/>
                <w:color w:val="auto"/>
              </w:rPr>
              <w:t>- $1.75</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Borders>
              <w:top w:val="single" w:sz="8" w:color="auto"/>
            </w:tcBorders>
          </w:tcPr>
          <w:p>
            <w:pPr>
              <w:jc w:val="center"/>
              <w:spacing w:after="0"/>
              <w:rPr>
                <w:sz w:val="20"/>
                <w:szCs w:val="20"/>
                <w:color w:val="auto"/>
              </w:rPr>
            </w:pPr>
            <w:r>
              <w:rPr>
                <w:rFonts w:ascii="Arial" w:cs="Arial" w:eastAsia="Arial" w:hAnsi="Arial"/>
                <w:sz w:val="20"/>
                <w:szCs w:val="20"/>
                <w:color w:val="auto"/>
                <w:w w:val="99"/>
              </w:rPr>
              <w:t>$1.64</w:t>
            </w:r>
          </w:p>
        </w:tc>
        <w:tc>
          <w:tcPr>
            <w:tcW w:w="380" w:type="dxa"/>
            <w:vAlign w:val="bottom"/>
            <w:tcBorders>
              <w:top w:val="single" w:sz="8" w:color="auto"/>
            </w:tcBorders>
          </w:tcPr>
          <w:p>
            <w:pPr>
              <w:jc w:val="right"/>
              <w:ind w:right="81"/>
              <w:spacing w:after="0"/>
              <w:rPr>
                <w:sz w:val="20"/>
                <w:szCs w:val="20"/>
                <w:color w:val="auto"/>
              </w:rPr>
            </w:pPr>
            <w:r>
              <w:rPr>
                <w:rFonts w:ascii="Arial" w:cs="Arial" w:eastAsia="Arial" w:hAnsi="Arial"/>
                <w:sz w:val="20"/>
                <w:szCs w:val="20"/>
                <w:color w:val="auto"/>
              </w:rPr>
              <w:t>-</w:t>
            </w:r>
          </w:p>
        </w:tc>
        <w:tc>
          <w:tcPr>
            <w:tcW w:w="920" w:type="dxa"/>
            <w:vAlign w:val="bottom"/>
            <w:tcBorders>
              <w:top w:val="single" w:sz="8" w:color="auto"/>
            </w:tcBorders>
          </w:tcPr>
          <w:p>
            <w:pPr>
              <w:jc w:val="center"/>
              <w:spacing w:after="0"/>
              <w:rPr>
                <w:sz w:val="20"/>
                <w:szCs w:val="20"/>
                <w:color w:val="auto"/>
              </w:rPr>
            </w:pPr>
            <w:r>
              <w:rPr>
                <w:rFonts w:ascii="Arial" w:cs="Arial" w:eastAsia="Arial" w:hAnsi="Arial"/>
                <w:sz w:val="20"/>
                <w:szCs w:val="20"/>
                <w:color w:val="auto"/>
                <w:w w:val="99"/>
              </w:rPr>
              <w:t>$1.66</w:t>
            </w:r>
          </w:p>
        </w:tc>
        <w:tc>
          <w:tcPr>
            <w:tcW w:w="120" w:type="dxa"/>
            <w:vAlign w:val="bottom"/>
          </w:tcPr>
          <w:p>
            <w:pPr>
              <w:spacing w:after="0"/>
              <w:rPr>
                <w:sz w:val="24"/>
                <w:szCs w:val="24"/>
                <w:color w:val="auto"/>
              </w:rPr>
            </w:pPr>
          </w:p>
        </w:tc>
      </w:tr>
      <w:tr>
        <w:trPr>
          <w:trHeight w:val="297"/>
        </w:trPr>
        <w:tc>
          <w:tcPr>
            <w:tcW w:w="3320" w:type="dxa"/>
            <w:vAlign w:val="bottom"/>
          </w:tcPr>
          <w:p>
            <w:pPr>
              <w:ind w:left="20"/>
              <w:spacing w:after="0"/>
              <w:rPr>
                <w:sz w:val="20"/>
                <w:szCs w:val="20"/>
                <w:color w:val="auto"/>
              </w:rPr>
            </w:pPr>
            <w:r>
              <w:rPr>
                <w:rFonts w:ascii="Arial" w:cs="Arial" w:eastAsia="Arial" w:hAnsi="Arial"/>
                <w:sz w:val="20"/>
                <w:szCs w:val="20"/>
                <w:color w:val="auto"/>
              </w:rPr>
              <w:t xml:space="preserve">Adjusted EBITDA </w:t>
            </w:r>
            <w:r>
              <w:rPr>
                <w:rFonts w:ascii="Arial" w:cs="Arial" w:eastAsia="Arial" w:hAnsi="Arial"/>
                <w:sz w:val="17"/>
                <w:szCs w:val="17"/>
                <w:i w:val="1"/>
                <w:iCs w:val="1"/>
                <w:color w:val="auto"/>
              </w:rPr>
              <w:t>(in millions)</w:t>
            </w:r>
          </w:p>
        </w:tc>
        <w:tc>
          <w:tcPr>
            <w:tcW w:w="1360" w:type="dxa"/>
            <w:vAlign w:val="bottom"/>
            <w:gridSpan w:val="2"/>
          </w:tcPr>
          <w:p>
            <w:pPr>
              <w:jc w:val="right"/>
              <w:spacing w:after="0"/>
              <w:rPr>
                <w:sz w:val="20"/>
                <w:szCs w:val="20"/>
                <w:color w:val="auto"/>
              </w:rPr>
            </w:pPr>
            <w:r>
              <w:rPr>
                <w:rFonts w:ascii="Arial" w:cs="Arial" w:eastAsia="Arial" w:hAnsi="Arial"/>
                <w:sz w:val="20"/>
                <w:szCs w:val="20"/>
                <w:color w:val="auto"/>
              </w:rPr>
              <w:t>$310</w:t>
            </w:r>
          </w:p>
        </w:tc>
        <w:tc>
          <w:tcPr>
            <w:tcW w:w="660" w:type="dxa"/>
            <w:vAlign w:val="bottom"/>
          </w:tcPr>
          <w:p>
            <w:pPr>
              <w:ind w:left="40"/>
              <w:spacing w:after="0"/>
              <w:rPr>
                <w:sz w:val="20"/>
                <w:szCs w:val="20"/>
                <w:color w:val="auto"/>
              </w:rPr>
            </w:pPr>
            <w:r>
              <w:rPr>
                <w:rFonts w:ascii="Arial" w:cs="Arial" w:eastAsia="Arial" w:hAnsi="Arial"/>
                <w:sz w:val="20"/>
                <w:szCs w:val="20"/>
                <w:color w:val="auto"/>
              </w:rPr>
              <w:t>- $326</w:t>
            </w:r>
          </w:p>
        </w:tc>
        <w:tc>
          <w:tcPr>
            <w:tcW w:w="8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$264</w:t>
            </w:r>
          </w:p>
        </w:tc>
        <w:tc>
          <w:tcPr>
            <w:tcW w:w="1060" w:type="dxa"/>
            <w:vAlign w:val="bottom"/>
          </w:tcPr>
          <w:p>
            <w:pPr>
              <w:ind w:left="20"/>
              <w:spacing w:after="0"/>
              <w:rPr>
                <w:sz w:val="20"/>
                <w:szCs w:val="20"/>
                <w:color w:val="auto"/>
              </w:rPr>
            </w:pPr>
            <w:r>
              <w:rPr>
                <w:rFonts w:ascii="Arial" w:cs="Arial" w:eastAsia="Arial" w:hAnsi="Arial"/>
                <w:sz w:val="20"/>
                <w:szCs w:val="20"/>
                <w:color w:val="auto"/>
              </w:rPr>
              <w:t>- $271</w:t>
            </w:r>
          </w:p>
        </w:tc>
        <w:tc>
          <w:tcPr>
            <w:tcW w:w="160" w:type="dxa"/>
            <w:vAlign w:val="bottom"/>
          </w:tcPr>
          <w:p>
            <w:pPr>
              <w:spacing w:after="0"/>
              <w:rPr>
                <w:sz w:val="24"/>
                <w:szCs w:val="24"/>
                <w:color w:val="auto"/>
              </w:rPr>
            </w:pPr>
          </w:p>
        </w:tc>
        <w:tc>
          <w:tcPr>
            <w:tcW w:w="920" w:type="dxa"/>
            <w:vAlign w:val="bottom"/>
            <w:gridSpan w:val="2"/>
          </w:tcPr>
          <w:p>
            <w:pPr>
              <w:jc w:val="center"/>
              <w:spacing w:after="0"/>
              <w:rPr>
                <w:sz w:val="20"/>
                <w:szCs w:val="20"/>
                <w:color w:val="auto"/>
              </w:rPr>
            </w:pPr>
            <w:r>
              <w:rPr>
                <w:rFonts w:ascii="Arial" w:cs="Arial" w:eastAsia="Arial" w:hAnsi="Arial"/>
                <w:sz w:val="20"/>
                <w:szCs w:val="20"/>
                <w:color w:val="auto"/>
                <w:w w:val="98"/>
              </w:rPr>
              <w:t>$242</w:t>
            </w:r>
          </w:p>
        </w:tc>
        <w:tc>
          <w:tcPr>
            <w:tcW w:w="38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920" w:type="dxa"/>
            <w:vAlign w:val="bottom"/>
          </w:tcPr>
          <w:p>
            <w:pPr>
              <w:jc w:val="center"/>
              <w:spacing w:after="0"/>
              <w:rPr>
                <w:sz w:val="20"/>
                <w:szCs w:val="20"/>
                <w:color w:val="auto"/>
              </w:rPr>
            </w:pPr>
            <w:r>
              <w:rPr>
                <w:rFonts w:ascii="Arial" w:cs="Arial" w:eastAsia="Arial" w:hAnsi="Arial"/>
                <w:sz w:val="20"/>
                <w:szCs w:val="20"/>
                <w:color w:val="auto"/>
                <w:w w:val="98"/>
              </w:rPr>
              <w:t>$249</w:t>
            </w:r>
          </w:p>
        </w:tc>
        <w:tc>
          <w:tcPr>
            <w:tcW w:w="120" w:type="dxa"/>
            <w:vAlign w:val="bottom"/>
          </w:tcPr>
          <w:p>
            <w:pPr>
              <w:spacing w:after="0"/>
              <w:rPr>
                <w:sz w:val="24"/>
                <w:szCs w:val="24"/>
                <w:color w:val="auto"/>
              </w:rPr>
            </w:pPr>
          </w:p>
        </w:tc>
      </w:tr>
      <w:tr>
        <w:trPr>
          <w:trHeight w:val="297"/>
        </w:trPr>
        <w:tc>
          <w:tcPr>
            <w:tcW w:w="3320" w:type="dxa"/>
            <w:vAlign w:val="bottom"/>
          </w:tcPr>
          <w:p>
            <w:pPr>
              <w:ind w:left="20"/>
              <w:spacing w:after="0"/>
              <w:rPr>
                <w:sz w:val="20"/>
                <w:szCs w:val="20"/>
                <w:color w:val="auto"/>
              </w:rPr>
            </w:pPr>
            <w:r>
              <w:rPr>
                <w:rFonts w:ascii="Arial" w:cs="Arial" w:eastAsia="Arial" w:hAnsi="Arial"/>
                <w:sz w:val="20"/>
                <w:szCs w:val="20"/>
                <w:color w:val="auto"/>
              </w:rPr>
              <w:t>Adjusted EBITDA Margin</w:t>
            </w:r>
          </w:p>
        </w:tc>
        <w:tc>
          <w:tcPr>
            <w:tcW w:w="1360" w:type="dxa"/>
            <w:vAlign w:val="bottom"/>
            <w:gridSpan w:val="2"/>
          </w:tcPr>
          <w:p>
            <w:pPr>
              <w:jc w:val="right"/>
              <w:spacing w:after="0"/>
              <w:rPr>
                <w:sz w:val="20"/>
                <w:szCs w:val="20"/>
                <w:color w:val="auto"/>
              </w:rPr>
            </w:pPr>
            <w:r>
              <w:rPr>
                <w:rFonts w:ascii="Arial" w:cs="Arial" w:eastAsia="Arial" w:hAnsi="Arial"/>
                <w:sz w:val="20"/>
                <w:szCs w:val="20"/>
                <w:color w:val="auto"/>
              </w:rPr>
              <w:t>17.6%</w:t>
            </w:r>
          </w:p>
        </w:tc>
        <w:tc>
          <w:tcPr>
            <w:tcW w:w="1460" w:type="dxa"/>
            <w:vAlign w:val="bottom"/>
            <w:gridSpan w:val="2"/>
          </w:tcPr>
          <w:p>
            <w:pPr>
              <w:ind w:left="40"/>
              <w:spacing w:after="0"/>
              <w:rPr>
                <w:sz w:val="20"/>
                <w:szCs w:val="20"/>
                <w:color w:val="auto"/>
              </w:rPr>
            </w:pPr>
            <w:r>
              <w:rPr>
                <w:rFonts w:ascii="Arial" w:cs="Arial" w:eastAsia="Arial" w:hAnsi="Arial"/>
                <w:sz w:val="20"/>
                <w:szCs w:val="20"/>
                <w:color w:val="auto"/>
              </w:rPr>
              <w:t>- 17.8%</w:t>
            </w:r>
          </w:p>
        </w:tc>
        <w:tc>
          <w:tcPr>
            <w:tcW w:w="940" w:type="dxa"/>
            <w:vAlign w:val="bottom"/>
          </w:tcPr>
          <w:p>
            <w:pPr>
              <w:jc w:val="right"/>
              <w:spacing w:after="0"/>
              <w:rPr>
                <w:sz w:val="20"/>
                <w:szCs w:val="20"/>
                <w:color w:val="auto"/>
              </w:rPr>
            </w:pPr>
            <w:r>
              <w:rPr>
                <w:rFonts w:ascii="Arial" w:cs="Arial" w:eastAsia="Arial" w:hAnsi="Arial"/>
                <w:sz w:val="20"/>
                <w:szCs w:val="20"/>
                <w:color w:val="auto"/>
              </w:rPr>
              <w:t>15.2%</w:t>
            </w:r>
          </w:p>
        </w:tc>
        <w:tc>
          <w:tcPr>
            <w:tcW w:w="1060" w:type="dxa"/>
            <w:vAlign w:val="bottom"/>
          </w:tcPr>
          <w:p>
            <w:pPr>
              <w:ind w:left="20"/>
              <w:spacing w:after="0"/>
              <w:rPr>
                <w:sz w:val="20"/>
                <w:szCs w:val="20"/>
                <w:color w:val="auto"/>
              </w:rPr>
            </w:pPr>
            <w:r>
              <w:rPr>
                <w:rFonts w:ascii="Arial" w:cs="Arial" w:eastAsia="Arial" w:hAnsi="Arial"/>
                <w:sz w:val="20"/>
                <w:szCs w:val="20"/>
                <w:color w:val="auto"/>
              </w:rPr>
              <w:t>- 15.5%</w:t>
            </w:r>
          </w:p>
        </w:tc>
        <w:tc>
          <w:tcPr>
            <w:tcW w:w="160" w:type="dxa"/>
            <w:vAlign w:val="bottom"/>
          </w:tcPr>
          <w:p>
            <w:pPr>
              <w:spacing w:after="0"/>
              <w:rPr>
                <w:sz w:val="24"/>
                <w:szCs w:val="24"/>
                <w:color w:val="auto"/>
              </w:rPr>
            </w:pPr>
          </w:p>
        </w:tc>
        <w:tc>
          <w:tcPr>
            <w:tcW w:w="920" w:type="dxa"/>
            <w:vAlign w:val="bottom"/>
            <w:gridSpan w:val="2"/>
          </w:tcPr>
          <w:p>
            <w:pPr>
              <w:jc w:val="center"/>
              <w:spacing w:after="0"/>
              <w:rPr>
                <w:sz w:val="20"/>
                <w:szCs w:val="20"/>
                <w:color w:val="auto"/>
              </w:rPr>
            </w:pPr>
            <w:r>
              <w:rPr>
                <w:rFonts w:ascii="Arial" w:cs="Arial" w:eastAsia="Arial" w:hAnsi="Arial"/>
                <w:sz w:val="20"/>
                <w:szCs w:val="20"/>
                <w:color w:val="auto"/>
                <w:w w:val="98"/>
              </w:rPr>
              <w:t>14.7%</w:t>
            </w:r>
          </w:p>
        </w:tc>
        <w:tc>
          <w:tcPr>
            <w:tcW w:w="38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920" w:type="dxa"/>
            <w:vAlign w:val="bottom"/>
          </w:tcPr>
          <w:p>
            <w:pPr>
              <w:jc w:val="center"/>
              <w:spacing w:after="0"/>
              <w:rPr>
                <w:sz w:val="20"/>
                <w:szCs w:val="20"/>
                <w:color w:val="auto"/>
              </w:rPr>
            </w:pPr>
            <w:r>
              <w:rPr>
                <w:rFonts w:ascii="Arial" w:cs="Arial" w:eastAsia="Arial" w:hAnsi="Arial"/>
                <w:sz w:val="20"/>
                <w:szCs w:val="20"/>
                <w:color w:val="auto"/>
                <w:w w:val="98"/>
              </w:rPr>
              <w:t>15.0%</w:t>
            </w:r>
          </w:p>
        </w:tc>
        <w:tc>
          <w:tcPr>
            <w:tcW w:w="120" w:type="dxa"/>
            <w:vAlign w:val="bottom"/>
          </w:tcPr>
          <w:p>
            <w:pPr>
              <w:spacing w:after="0"/>
              <w:rPr>
                <w:sz w:val="24"/>
                <w:szCs w:val="24"/>
                <w:color w:val="auto"/>
              </w:rPr>
            </w:pPr>
          </w:p>
        </w:tc>
      </w:tr>
      <w:tr>
        <w:trPr>
          <w:trHeight w:val="297"/>
        </w:trPr>
        <w:tc>
          <w:tcPr>
            <w:tcW w:w="3320" w:type="dxa"/>
            <w:vAlign w:val="bottom"/>
          </w:tcPr>
          <w:p>
            <w:pPr>
              <w:ind w:left="20"/>
              <w:spacing w:after="0"/>
              <w:rPr>
                <w:sz w:val="20"/>
                <w:szCs w:val="20"/>
                <w:color w:val="auto"/>
              </w:rPr>
            </w:pPr>
            <w:r>
              <w:rPr>
                <w:rFonts w:ascii="Arial" w:cs="Arial" w:eastAsia="Arial" w:hAnsi="Arial"/>
                <w:sz w:val="20"/>
                <w:szCs w:val="20"/>
                <w:color w:val="auto"/>
              </w:rPr>
              <w:t>GAAP EPS – Diluted</w:t>
            </w:r>
          </w:p>
        </w:tc>
        <w:tc>
          <w:tcPr>
            <w:tcW w:w="1360" w:type="dxa"/>
            <w:vAlign w:val="bottom"/>
            <w:gridSpan w:val="2"/>
          </w:tcPr>
          <w:p>
            <w:pPr>
              <w:jc w:val="right"/>
              <w:spacing w:after="0"/>
              <w:rPr>
                <w:sz w:val="20"/>
                <w:szCs w:val="20"/>
                <w:color w:val="auto"/>
              </w:rPr>
            </w:pPr>
            <w:r>
              <w:rPr>
                <w:rFonts w:ascii="Arial" w:cs="Arial" w:eastAsia="Arial" w:hAnsi="Arial"/>
                <w:sz w:val="20"/>
                <w:szCs w:val="20"/>
                <w:color w:val="auto"/>
              </w:rPr>
              <w:t>$2.40</w:t>
            </w:r>
          </w:p>
        </w:tc>
        <w:tc>
          <w:tcPr>
            <w:tcW w:w="660" w:type="dxa"/>
            <w:vAlign w:val="bottom"/>
          </w:tcPr>
          <w:p>
            <w:pPr>
              <w:ind w:left="40"/>
              <w:spacing w:after="0"/>
              <w:rPr>
                <w:sz w:val="20"/>
                <w:szCs w:val="20"/>
                <w:color w:val="auto"/>
              </w:rPr>
            </w:pPr>
            <w:r>
              <w:rPr>
                <w:rFonts w:ascii="Arial" w:cs="Arial" w:eastAsia="Arial" w:hAnsi="Arial"/>
                <w:sz w:val="20"/>
                <w:szCs w:val="20"/>
                <w:color w:val="auto"/>
                <w:w w:val="96"/>
              </w:rPr>
              <w:t>- $2.80</w:t>
            </w:r>
          </w:p>
        </w:tc>
        <w:tc>
          <w:tcPr>
            <w:tcW w:w="8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$1.12</w:t>
            </w:r>
          </w:p>
        </w:tc>
        <w:tc>
          <w:tcPr>
            <w:tcW w:w="1060" w:type="dxa"/>
            <w:vAlign w:val="bottom"/>
          </w:tcPr>
          <w:p>
            <w:pPr>
              <w:ind w:left="20"/>
              <w:spacing w:after="0"/>
              <w:rPr>
                <w:sz w:val="20"/>
                <w:szCs w:val="20"/>
                <w:color w:val="auto"/>
              </w:rPr>
            </w:pPr>
            <w:r>
              <w:rPr>
                <w:rFonts w:ascii="Arial" w:cs="Arial" w:eastAsia="Arial" w:hAnsi="Arial"/>
                <w:sz w:val="20"/>
                <w:szCs w:val="20"/>
                <w:color w:val="auto"/>
              </w:rPr>
              <w:t>- $1.27</w:t>
            </w:r>
          </w:p>
        </w:tc>
        <w:tc>
          <w:tcPr>
            <w:tcW w:w="160" w:type="dxa"/>
            <w:vAlign w:val="bottom"/>
          </w:tcPr>
          <w:p>
            <w:pPr>
              <w:spacing w:after="0"/>
              <w:rPr>
                <w:sz w:val="24"/>
                <w:szCs w:val="24"/>
                <w:color w:val="auto"/>
              </w:rPr>
            </w:pPr>
          </w:p>
        </w:tc>
        <w:tc>
          <w:tcPr>
            <w:tcW w:w="920" w:type="dxa"/>
            <w:vAlign w:val="bottom"/>
            <w:gridSpan w:val="2"/>
          </w:tcPr>
          <w:p>
            <w:pPr>
              <w:jc w:val="center"/>
              <w:spacing w:after="0"/>
              <w:rPr>
                <w:sz w:val="20"/>
                <w:szCs w:val="20"/>
                <w:color w:val="auto"/>
              </w:rPr>
            </w:pPr>
            <w:r>
              <w:rPr>
                <w:rFonts w:ascii="Arial" w:cs="Arial" w:eastAsia="Arial" w:hAnsi="Arial"/>
                <w:sz w:val="20"/>
                <w:szCs w:val="20"/>
                <w:color w:val="auto"/>
                <w:w w:val="99"/>
              </w:rPr>
              <w:t>$0.64</w:t>
            </w:r>
          </w:p>
        </w:tc>
        <w:tc>
          <w:tcPr>
            <w:tcW w:w="38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920" w:type="dxa"/>
            <w:vAlign w:val="bottom"/>
          </w:tcPr>
          <w:p>
            <w:pPr>
              <w:jc w:val="center"/>
              <w:spacing w:after="0"/>
              <w:rPr>
                <w:sz w:val="20"/>
                <w:szCs w:val="20"/>
                <w:color w:val="auto"/>
              </w:rPr>
            </w:pPr>
            <w:r>
              <w:rPr>
                <w:rFonts w:ascii="Arial" w:cs="Arial" w:eastAsia="Arial" w:hAnsi="Arial"/>
                <w:sz w:val="20"/>
                <w:szCs w:val="20"/>
                <w:color w:val="auto"/>
                <w:w w:val="99"/>
              </w:rPr>
              <w:t>$0.79</w:t>
            </w:r>
          </w:p>
        </w:tc>
        <w:tc>
          <w:tcPr>
            <w:tcW w:w="120" w:type="dxa"/>
            <w:vAlign w:val="bottom"/>
          </w:tcPr>
          <w:p>
            <w:pPr>
              <w:spacing w:after="0"/>
              <w:rPr>
                <w:sz w:val="24"/>
                <w:szCs w:val="24"/>
                <w:color w:val="auto"/>
              </w:rPr>
            </w:pPr>
          </w:p>
        </w:tc>
      </w:tr>
      <w:tr>
        <w:trPr>
          <w:trHeight w:val="297"/>
        </w:trPr>
        <w:tc>
          <w:tcPr>
            <w:tcW w:w="3320" w:type="dxa"/>
            <w:vAlign w:val="bottom"/>
          </w:tcPr>
          <w:p>
            <w:pPr>
              <w:ind w:left="20"/>
              <w:spacing w:after="0"/>
              <w:rPr>
                <w:sz w:val="20"/>
                <w:szCs w:val="20"/>
                <w:color w:val="auto"/>
              </w:rPr>
            </w:pPr>
            <w:r>
              <w:rPr>
                <w:rFonts w:ascii="Arial" w:cs="Arial" w:eastAsia="Arial" w:hAnsi="Arial"/>
                <w:sz w:val="20"/>
                <w:szCs w:val="20"/>
                <w:color w:val="auto"/>
              </w:rPr>
              <w:t>Adjusted EPS – Diluted</w:t>
            </w:r>
          </w:p>
        </w:tc>
        <w:tc>
          <w:tcPr>
            <w:tcW w:w="1360" w:type="dxa"/>
            <w:vAlign w:val="bottom"/>
            <w:gridSpan w:val="2"/>
          </w:tcPr>
          <w:p>
            <w:pPr>
              <w:jc w:val="right"/>
              <w:spacing w:after="0"/>
              <w:rPr>
                <w:sz w:val="20"/>
                <w:szCs w:val="20"/>
                <w:color w:val="auto"/>
              </w:rPr>
            </w:pPr>
            <w:r>
              <w:rPr>
                <w:rFonts w:ascii="Arial" w:cs="Arial" w:eastAsia="Arial" w:hAnsi="Arial"/>
                <w:sz w:val="20"/>
                <w:szCs w:val="20"/>
                <w:color w:val="auto"/>
              </w:rPr>
              <w:t>$3.65</w:t>
            </w:r>
          </w:p>
        </w:tc>
        <w:tc>
          <w:tcPr>
            <w:tcW w:w="660" w:type="dxa"/>
            <w:vAlign w:val="bottom"/>
          </w:tcPr>
          <w:p>
            <w:pPr>
              <w:ind w:left="40"/>
              <w:spacing w:after="0"/>
              <w:rPr>
                <w:sz w:val="20"/>
                <w:szCs w:val="20"/>
                <w:color w:val="auto"/>
              </w:rPr>
            </w:pPr>
            <w:r>
              <w:rPr>
                <w:rFonts w:ascii="Arial" w:cs="Arial" w:eastAsia="Arial" w:hAnsi="Arial"/>
                <w:sz w:val="20"/>
                <w:szCs w:val="20"/>
                <w:color w:val="auto"/>
                <w:w w:val="96"/>
              </w:rPr>
              <w:t>- $4.05</w:t>
            </w:r>
          </w:p>
        </w:tc>
        <w:tc>
          <w:tcPr>
            <w:tcW w:w="8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$2.70</w:t>
            </w:r>
          </w:p>
        </w:tc>
        <w:tc>
          <w:tcPr>
            <w:tcW w:w="1060" w:type="dxa"/>
            <w:vAlign w:val="bottom"/>
          </w:tcPr>
          <w:p>
            <w:pPr>
              <w:ind w:left="20"/>
              <w:spacing w:after="0"/>
              <w:rPr>
                <w:sz w:val="20"/>
                <w:szCs w:val="20"/>
                <w:color w:val="auto"/>
              </w:rPr>
            </w:pPr>
            <w:r>
              <w:rPr>
                <w:rFonts w:ascii="Arial" w:cs="Arial" w:eastAsia="Arial" w:hAnsi="Arial"/>
                <w:sz w:val="20"/>
                <w:szCs w:val="20"/>
                <w:color w:val="auto"/>
              </w:rPr>
              <w:t>- $2.85</w:t>
            </w:r>
          </w:p>
        </w:tc>
        <w:tc>
          <w:tcPr>
            <w:tcW w:w="160" w:type="dxa"/>
            <w:vAlign w:val="bottom"/>
          </w:tcPr>
          <w:p>
            <w:pPr>
              <w:spacing w:after="0"/>
              <w:rPr>
                <w:sz w:val="24"/>
                <w:szCs w:val="24"/>
                <w:color w:val="auto"/>
              </w:rPr>
            </w:pPr>
          </w:p>
        </w:tc>
        <w:tc>
          <w:tcPr>
            <w:tcW w:w="920" w:type="dxa"/>
            <w:vAlign w:val="bottom"/>
            <w:gridSpan w:val="2"/>
          </w:tcPr>
          <w:p>
            <w:pPr>
              <w:jc w:val="center"/>
              <w:spacing w:after="0"/>
              <w:rPr>
                <w:sz w:val="20"/>
                <w:szCs w:val="20"/>
                <w:color w:val="auto"/>
              </w:rPr>
            </w:pPr>
            <w:r>
              <w:rPr>
                <w:rFonts w:ascii="Arial" w:cs="Arial" w:eastAsia="Arial" w:hAnsi="Arial"/>
                <w:sz w:val="20"/>
                <w:szCs w:val="20"/>
                <w:color w:val="auto"/>
                <w:w w:val="99"/>
              </w:rPr>
              <w:t>$2.25</w:t>
            </w:r>
          </w:p>
        </w:tc>
        <w:tc>
          <w:tcPr>
            <w:tcW w:w="38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920" w:type="dxa"/>
            <w:vAlign w:val="bottom"/>
          </w:tcPr>
          <w:p>
            <w:pPr>
              <w:jc w:val="center"/>
              <w:spacing w:after="0"/>
              <w:rPr>
                <w:sz w:val="20"/>
                <w:szCs w:val="20"/>
                <w:color w:val="auto"/>
              </w:rPr>
            </w:pPr>
            <w:r>
              <w:rPr>
                <w:rFonts w:ascii="Arial" w:cs="Arial" w:eastAsia="Arial" w:hAnsi="Arial"/>
                <w:sz w:val="20"/>
                <w:szCs w:val="20"/>
                <w:color w:val="auto"/>
                <w:w w:val="99"/>
              </w:rPr>
              <w:t>$2.40</w:t>
            </w:r>
          </w:p>
        </w:tc>
        <w:tc>
          <w:tcPr>
            <w:tcW w:w="120" w:type="dxa"/>
            <w:vAlign w:val="bottom"/>
          </w:tcPr>
          <w:p>
            <w:pPr>
              <w:spacing w:after="0"/>
              <w:rPr>
                <w:sz w:val="24"/>
                <w:szCs w:val="24"/>
                <w:color w:val="auto"/>
              </w:rPr>
            </w:pPr>
          </w:p>
        </w:tc>
      </w:tr>
    </w:tbl>
    <w:p>
      <w:pPr>
        <w:spacing w:after="0" w:line="200" w:lineRule="exact"/>
        <w:rPr>
          <w:sz w:val="20"/>
          <w:szCs w:val="20"/>
          <w:color w:val="auto"/>
        </w:rPr>
      </w:pPr>
    </w:p>
    <w:p>
      <w:pPr>
        <w:spacing w:after="0" w:line="362"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In conjunction with fourth quarter 2026 reporting, Gibraltar will provide complete recast historical results for continuing operations excluding results from the Infrastructure segment, which will be available for access in the Investors section of the Company’s website.</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Third Quarter 2026 Conference Call Details</w:t>
      </w:r>
    </w:p>
    <w:p>
      <w:pPr>
        <w:spacing w:after="0" w:line="258" w:lineRule="exact"/>
        <w:rPr>
          <w:sz w:val="20"/>
          <w:szCs w:val="20"/>
          <w:color w:val="auto"/>
        </w:rPr>
      </w:pPr>
    </w:p>
    <w:p>
      <w:pPr>
        <w:jc w:val="both"/>
        <w:spacing w:after="0" w:line="254" w:lineRule="auto"/>
        <w:rPr>
          <w:sz w:val="20"/>
          <w:szCs w:val="20"/>
          <w:color w:val="auto"/>
        </w:rPr>
      </w:pPr>
      <w:r>
        <w:rPr>
          <w:rFonts w:ascii="Arial" w:cs="Arial" w:eastAsia="Arial" w:hAnsi="Arial"/>
          <w:sz w:val="20"/>
          <w:szCs w:val="20"/>
          <w:color w:val="auto"/>
        </w:rPr>
        <w:t xml:space="preserve">Gibraltar will host a conference call today starting at 9:00 a.m. ET to review its results for the third quarter of 2026. Interested parties may access the webcast through the Investors section of the Company’s website at </w:t>
      </w:r>
      <w:r>
        <w:rPr>
          <w:rFonts w:ascii="Arial" w:cs="Arial" w:eastAsia="Arial" w:hAnsi="Arial"/>
          <w:sz w:val="20"/>
          <w:szCs w:val="20"/>
          <w:u w:val="single" w:color="auto"/>
          <w:color w:val="auto"/>
        </w:rPr>
        <w:t>www.gibraltar1.com</w:t>
      </w:r>
      <w:r>
        <w:rPr>
          <w:rFonts w:ascii="Arial" w:cs="Arial" w:eastAsia="Arial" w:hAnsi="Arial"/>
          <w:sz w:val="20"/>
          <w:szCs w:val="20"/>
          <w:color w:val="auto"/>
        </w:rPr>
        <w:t>, where related presentation materials will also be posted prior to the conference call. The call also may be accessed by dialing (877) 407-3088 or (201) 389-0927. For interested individuals unable to join the live conference call, a webcast replay will be available on the Company’s website for one year.</w:t>
      </w:r>
    </w:p>
    <w:p>
      <w:pPr>
        <w:spacing w:after="0" w:line="18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Gibraltar</w:t>
      </w:r>
    </w:p>
    <w:p>
      <w:pPr>
        <w:spacing w:after="0" w:line="137" w:lineRule="exact"/>
        <w:rPr>
          <w:sz w:val="20"/>
          <w:szCs w:val="20"/>
          <w:color w:val="auto"/>
        </w:rPr>
      </w:pPr>
    </w:p>
    <w:p>
      <w:pPr>
        <w:jc w:val="both"/>
        <w:spacing w:after="0" w:line="283" w:lineRule="auto"/>
        <w:rPr>
          <w:sz w:val="20"/>
          <w:szCs w:val="20"/>
          <w:color w:val="auto"/>
        </w:rPr>
      </w:pPr>
      <w:r>
        <w:rPr>
          <w:rFonts w:ascii="Arial" w:cs="Arial" w:eastAsia="Arial" w:hAnsi="Arial"/>
          <w:sz w:val="20"/>
          <w:szCs w:val="20"/>
          <w:color w:val="auto"/>
        </w:rPr>
        <w:t xml:space="preserve">Gibraltar is a leading manufacturer and provider of products and services for the residential and agtech markets. Gibraltar’s mission, to make life better for people and the planet, is fueled by advancing the disciplines of engineering, science, and technology. Gibraltar is innovating to reshape critical markets in comfortable living and productive growing throughout North America. For more please visit </w:t>
      </w:r>
      <w:r>
        <w:rPr>
          <w:rFonts w:ascii="Arial" w:cs="Arial" w:eastAsia="Arial" w:hAnsi="Arial"/>
          <w:sz w:val="20"/>
          <w:szCs w:val="20"/>
          <w:u w:val="single" w:color="auto"/>
          <w:color w:val="0000FF"/>
        </w:rPr>
        <w:t>www.gibraltar1.com</w:t>
      </w:r>
      <w:r>
        <w:rPr>
          <w:rFonts w:ascii="Arial" w:cs="Arial" w:eastAsia="Arial" w:hAnsi="Arial"/>
          <w:sz w:val="20"/>
          <w:szCs w:val="20"/>
          <w:color w:val="auto"/>
        </w:rPr>
        <w:t>.</w:t>
      </w:r>
    </w:p>
    <w:p>
      <w:pPr>
        <w:sectPr>
          <w:pgSz w:w="11900" w:h="16838" w:orient="portrait"/>
          <w:cols w:equalWidth="0" w:num="1">
            <w:col w:w="11240"/>
          </w:cols>
          <w:pgMar w:left="320" w:top="1440" w:right="339" w:bottom="1440" w:gutter="0" w:footer="0" w:header="0"/>
        </w:sectPr>
      </w:pPr>
    </w:p>
    <w:bookmarkStart w:id="7" w:name="page8"/>
    <w:bookmarkEnd w:id="7"/>
    <w:p>
      <w:pPr>
        <w:spacing w:after="0" w:line="39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5205730</wp:posOffset>
            </wp:positionH>
            <wp:positionV relativeFrom="page">
              <wp:posOffset>243205</wp:posOffset>
            </wp:positionV>
            <wp:extent cx="2134235" cy="2743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2134235" cy="274320"/>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b w:val="1"/>
          <w:bCs w:val="1"/>
          <w:color w:val="auto"/>
        </w:rPr>
        <w:t>Forward-Looking Statements</w:t>
      </w:r>
    </w:p>
    <w:p>
      <w:pPr>
        <w:spacing w:after="0" w:line="123" w:lineRule="exact"/>
        <w:rPr>
          <w:sz w:val="20"/>
          <w:szCs w:val="20"/>
          <w:color w:val="auto"/>
        </w:rPr>
      </w:pPr>
    </w:p>
    <w:p>
      <w:pPr>
        <w:jc w:val="both"/>
        <w:spacing w:after="0" w:line="248" w:lineRule="auto"/>
        <w:rPr>
          <w:sz w:val="20"/>
          <w:szCs w:val="20"/>
          <w:color w:val="auto"/>
        </w:rPr>
      </w:pPr>
      <w:r>
        <w:rPr>
          <w:rFonts w:ascii="Arial" w:cs="Arial" w:eastAsia="Arial" w:hAnsi="Arial"/>
          <w:sz w:val="20"/>
          <w:szCs w:val="20"/>
          <w:color w:val="auto"/>
        </w:rPr>
        <w:t xml:space="preserve">Certain information set forth in this news release, other than historical statements, contains “forward-looking statements” within the meaning of the Private Securities Litigation Reform Act of 1995 that are based, in whole or in part, on current expectations, estimates, forecasts, and projections about the Company’s business, and management’s beliefs about future operations, results, and financial position. These statements are not guarantees of future performance and are subject to a number of risk factors, uncertainties, and assumptions. Actual events, performance, or results could differ materially from the anticipated events, performance, or results expressed or implied by such forward-looking statements. Factors that could cause actual results to differ materially from current expectations include, among other things, the ability of Gibraltar to successfully integrate OmniMax and/or to achieve expected cost and operational synergies from the OmniMax transaction; tariffs and retaliatory tariffs imposed by the United States or other countries on imported goods, including raw materials used in the manufacturing of the Company’s products; changes to economic conditions and customer demand for the Company’s products; the availability and pricing of principal raw materials and component parts, supply chain challenges causing project delays and field operations inefficiencies and disruptions, the loss of any key customers, adverse effects of inflation, the ability to continue to improve operating margins, the ability to generate order flow and sales and increase backlog; the ability to translate backlog into net sales, other general economic conditions and conditions in the particular markets in which we operate, changes in spending due to laws and government incentives, such as the Infrastructure Investment and Jobs Act, changes in customer demand and capital spending, competitive factors and pricing pressures, the ability to develop and launch new products in a cost-effective manner, the ability to realize synergies from newly acquired businesses, disruptions to IT systems, the impact of trade and regulation, rebates, credits and incentives and variations in government spending and ability to derive expected benefits from restructuring, productivity initiatives, liquidity enhancing actions, and other cost reduction actions; the occurrence of any event, change or other circumstances that could give rise to the termination of the purchase agreement with respect to D.S. Brown or could cause the consummation of the transaction to be delayed or to fail to occur; the failure to obtain certain required regulatory approvals or the failure to satisfy any of the other closing conditions to the completion of the transaction within the expected timeframes or at all; the effect of the transaction on the ability of Gibraltar to retain and hire key personnel and maintain relationships with its customers, suppliers and others with whom it does business, or on its operating results and business generally; the ability of Gibraltar to meet expectations regarding the timing and completion of the sale transaction and the outcome of any legal proceedings that may be instituted against Gibraltar related to the sale transaction. Before making any investment decisions regarding the company, we strongly advise you to read the section entitled “Risk Factors” in the most recent annual report on Form 10-K which can be accessed under the “SEC Filings” link of the “Investor Info” page of the website at </w:t>
      </w:r>
      <w:r>
        <w:rPr>
          <w:rFonts w:ascii="Arial" w:cs="Arial" w:eastAsia="Arial" w:hAnsi="Arial"/>
          <w:sz w:val="20"/>
          <w:szCs w:val="20"/>
          <w:u w:val="single" w:color="auto"/>
          <w:color w:val="0000FF"/>
        </w:rPr>
        <w:t>www.Gibraltar1.com</w:t>
      </w:r>
      <w:r>
        <w:rPr>
          <w:rFonts w:ascii="Arial" w:cs="Arial" w:eastAsia="Arial" w:hAnsi="Arial"/>
          <w:sz w:val="20"/>
          <w:szCs w:val="20"/>
          <w:color w:val="auto"/>
        </w:rPr>
        <w:t>. The Company undertakes no obligation to update any forward-looking statements, whether as a result of new information, future events or otherwise, except as may be required by applicable law or regulation.</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Adjusted Financial Measures</w:t>
      </w:r>
    </w:p>
    <w:p>
      <w:pPr>
        <w:spacing w:after="0" w:line="123" w:lineRule="exact"/>
        <w:rPr>
          <w:sz w:val="20"/>
          <w:szCs w:val="20"/>
          <w:color w:val="auto"/>
        </w:rPr>
      </w:pPr>
    </w:p>
    <w:p>
      <w:pPr>
        <w:jc w:val="both"/>
        <w:spacing w:after="0" w:line="252" w:lineRule="auto"/>
        <w:rPr>
          <w:sz w:val="20"/>
          <w:szCs w:val="20"/>
          <w:color w:val="auto"/>
        </w:rPr>
      </w:pPr>
      <w:r>
        <w:rPr>
          <w:rFonts w:ascii="Arial" w:cs="Arial" w:eastAsia="Arial" w:hAnsi="Arial"/>
          <w:sz w:val="20"/>
          <w:szCs w:val="20"/>
          <w:color w:val="auto"/>
        </w:rPr>
        <w:t>To supplement Gibraltar’s consolidated financial statements presented on a GAAP basis, Gibraltar also presented certain adjusted financial measures in this news release and its quarterly conference call, including adjusted net sales, adjusted operating income and margin, adjusted net income, adjusted earnings per share (EPS), free cash flow and adjusted earnings before interest, taxes, depreciation and amortization (Adjusted EBITDA) and Adjusted EBITDA margin, each a non-GAAP financial measure. Unless otherwise indicated, the consolidated financial statements, disclosures and related information disclosed herein relate to the Company's continuing operations, which exclude its Renewables business which was classified as a discontinued operation as of June 30, 2025. The Company has recast prior period amounts to reflect discontinued operations. Adjusted net income, operating income and margin</w:t>
      </w:r>
    </w:p>
    <w:p>
      <w:pPr>
        <w:sectPr>
          <w:pgSz w:w="11900" w:h="16838" w:orient="portrait"/>
          <w:cols w:equalWidth="0" w:num="1">
            <w:col w:w="11240"/>
          </w:cols>
          <w:pgMar w:left="320" w:top="1440" w:right="339" w:bottom="1440" w:gutter="0" w:footer="0" w:header="0"/>
        </w:sectPr>
      </w:pPr>
    </w:p>
    <w:bookmarkStart w:id="8" w:name="page9"/>
    <w:bookmarkEnd w:id="8"/>
    <w:p>
      <w:pPr>
        <w:spacing w:after="0" w:line="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5205730</wp:posOffset>
            </wp:positionH>
            <wp:positionV relativeFrom="page">
              <wp:posOffset>243205</wp:posOffset>
            </wp:positionV>
            <wp:extent cx="2134235" cy="2743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2134235" cy="274320"/>
                    </a:xfrm>
                    <a:prstGeom prst="rect">
                      <a:avLst/>
                    </a:prstGeom>
                    <a:noFill/>
                  </pic:spPr>
                </pic:pic>
              </a:graphicData>
            </a:graphic>
          </wp:anchor>
        </w:drawing>
      </w:r>
    </w:p>
    <w:p>
      <w:pPr>
        <w:jc w:val="both"/>
        <w:spacing w:after="0" w:line="250" w:lineRule="auto"/>
        <w:rPr>
          <w:sz w:val="20"/>
          <w:szCs w:val="20"/>
          <w:color w:val="auto"/>
        </w:rPr>
      </w:pPr>
      <w:r>
        <w:rPr>
          <w:rFonts w:ascii="Arial" w:cs="Arial" w:eastAsia="Arial" w:hAnsi="Arial"/>
          <w:sz w:val="20"/>
          <w:szCs w:val="20"/>
          <w:color w:val="auto"/>
        </w:rPr>
        <w:t>exclude special charges consisting of restructuring costs (primarily comprised of exit activities costs and impairment of assets associated with 80/20 simplification, lean initiatives and / or discontinued products), acquisition related costs (legal and consulting fees, and integration costs for recent business acquisitions), and portfolio management. These special charges are excluded since they may not be considered directly related to the Company’s ongoing business operations. The aforementioned exclusions along with other adjustments to other income below operating profit are excluded from adjusted EPS. Adjusted EBITDA and Adjusted EBITDA margin further excludes interest, taxes, depreciation, amortization and stock compensation expense. In evaluating its business, the Company considers and uses these non-GAAP financial measures as supplemental measures of its operating performance. Free cash flow is operating cash flow less capital expenditures and the related margin is free cash flow divided by net sales. The Company believes that the presentation of adjusted measures and free cash flow provides meaningful supplemental data to investors, as well as management, that are indicative of the Company’s core operating results and facilitates comparison of operating results across reporting periods as well as comparison with other companies. Adjusted EBITDA and free cash flow are also useful measures of the Company’s ability to service debt and adjusted EBITDA is one of the measures used for determining the Company’s debt covenant compliance.</w:t>
      </w:r>
    </w:p>
    <w:p>
      <w:pPr>
        <w:spacing w:after="0" w:line="85" w:lineRule="exact"/>
        <w:rPr>
          <w:sz w:val="20"/>
          <w:szCs w:val="20"/>
          <w:color w:val="auto"/>
        </w:rPr>
      </w:pPr>
    </w:p>
    <w:p>
      <w:pPr>
        <w:jc w:val="both"/>
        <w:spacing w:after="0" w:line="254" w:lineRule="auto"/>
        <w:rPr>
          <w:sz w:val="20"/>
          <w:szCs w:val="20"/>
          <w:color w:val="auto"/>
        </w:rPr>
      </w:pPr>
      <w:r>
        <w:rPr>
          <w:rFonts w:ascii="Arial" w:cs="Arial" w:eastAsia="Arial" w:hAnsi="Arial"/>
          <w:sz w:val="20"/>
          <w:szCs w:val="20"/>
          <w:color w:val="auto"/>
        </w:rPr>
        <w:t>Adjustments to the most directly comparable financial measures presented on a GAAP basis are quantified in the reconciliation of adjusted financial measures provided in the supplemental financial schedules that accompany this news release. These adjusted measures should not be viewed as a substitute for the Company’s GAAP results and may be different than adjusted measures used by other companies and the Company’s presentation of non-GAAP financial measures should not be construed as an inference that the Company’s future results will be unaffected by unusual or non-recurring items.</w:t>
      </w:r>
    </w:p>
    <w:p>
      <w:pPr>
        <w:spacing w:after="0" w:line="79" w:lineRule="exact"/>
        <w:rPr>
          <w:sz w:val="20"/>
          <w:szCs w:val="20"/>
          <w:color w:val="auto"/>
        </w:rPr>
      </w:pPr>
    </w:p>
    <w:p>
      <w:pPr>
        <w:jc w:val="both"/>
        <w:ind w:right="200"/>
        <w:spacing w:after="0" w:line="262" w:lineRule="auto"/>
        <w:rPr>
          <w:sz w:val="20"/>
          <w:szCs w:val="20"/>
          <w:color w:val="auto"/>
        </w:rPr>
      </w:pPr>
      <w:r>
        <w:rPr>
          <w:rFonts w:ascii="Arial" w:cs="Arial" w:eastAsia="Arial" w:hAnsi="Arial"/>
          <w:sz w:val="20"/>
          <w:szCs w:val="20"/>
          <w:color w:val="auto"/>
        </w:rPr>
        <w:t>Reconciliations of non-GAAP measures related to full-year 2026 guidance have not been provided due to the unreasonable efforts it would take to provide such reconciliations due to the high variability, complexity and uncertainty with respect to forecasting and quantifying certain amounts that are necessary for such reconciliations.</w:t>
      </w:r>
    </w:p>
    <w:p>
      <w:pPr>
        <w:spacing w:after="0" w:line="32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Contact:</w:t>
      </w:r>
    </w:p>
    <w:p>
      <w:pPr>
        <w:spacing w:after="0" w:line="164" w:lineRule="exact"/>
        <w:rPr>
          <w:sz w:val="20"/>
          <w:szCs w:val="20"/>
          <w:color w:val="auto"/>
        </w:rPr>
      </w:pPr>
    </w:p>
    <w:p>
      <w:pPr>
        <w:spacing w:after="0"/>
        <w:rPr>
          <w:sz w:val="20"/>
          <w:szCs w:val="20"/>
          <w:color w:val="auto"/>
        </w:rPr>
      </w:pPr>
      <w:r>
        <w:rPr>
          <w:rFonts w:ascii="Arial" w:cs="Arial" w:eastAsia="Arial" w:hAnsi="Arial"/>
          <w:sz w:val="20"/>
          <w:szCs w:val="20"/>
          <w:color w:val="auto"/>
        </w:rPr>
        <w:t>Alliance Advisors Investor Relations</w:t>
      </w:r>
    </w:p>
    <w:p>
      <w:pPr>
        <w:spacing w:after="0" w:line="40" w:lineRule="exact"/>
        <w:rPr>
          <w:sz w:val="20"/>
          <w:szCs w:val="20"/>
          <w:color w:val="auto"/>
        </w:rPr>
      </w:pPr>
    </w:p>
    <w:p>
      <w:pPr>
        <w:spacing w:after="0"/>
        <w:rPr>
          <w:sz w:val="20"/>
          <w:szCs w:val="20"/>
          <w:color w:val="auto"/>
        </w:rPr>
      </w:pPr>
      <w:r>
        <w:rPr>
          <w:rFonts w:ascii="Arial" w:cs="Arial" w:eastAsia="Arial" w:hAnsi="Arial"/>
          <w:sz w:val="20"/>
          <w:szCs w:val="20"/>
          <w:color w:val="auto"/>
        </w:rPr>
        <w:t>Jody Burfening/Carolyn Capaccio</w:t>
      </w:r>
    </w:p>
    <w:p>
      <w:pPr>
        <w:spacing w:after="0" w:line="54" w:lineRule="exact"/>
        <w:rPr>
          <w:sz w:val="20"/>
          <w:szCs w:val="20"/>
          <w:color w:val="auto"/>
        </w:rPr>
      </w:pPr>
    </w:p>
    <w:p>
      <w:pPr>
        <w:ind w:right="8820" w:firstLine="8"/>
        <w:spacing w:after="0" w:line="313" w:lineRule="auto"/>
        <w:tabs>
          <w:tab w:leader="none" w:pos="517" w:val="left"/>
        </w:tabs>
        <w:numPr>
          <w:ilvl w:val="0"/>
          <w:numId w:val="9"/>
        </w:numPr>
        <w:rPr>
          <w:rFonts w:ascii="Arial" w:cs="Arial" w:eastAsia="Arial" w:hAnsi="Arial"/>
          <w:sz w:val="19"/>
          <w:szCs w:val="19"/>
          <w:color w:val="auto"/>
        </w:rPr>
      </w:pPr>
      <w:r>
        <w:rPr>
          <w:rFonts w:ascii="Arial" w:cs="Arial" w:eastAsia="Arial" w:hAnsi="Arial"/>
          <w:sz w:val="19"/>
          <w:szCs w:val="19"/>
          <w:color w:val="auto"/>
        </w:rPr>
        <w:t xml:space="preserve">838-3777 </w:t>
      </w:r>
      <w:r>
        <w:rPr>
          <w:rFonts w:ascii="Arial" w:cs="Arial" w:eastAsia="Arial" w:hAnsi="Arial"/>
          <w:sz w:val="19"/>
          <w:szCs w:val="19"/>
          <w:u w:val="single" w:color="auto"/>
          <w:color w:val="0000FF"/>
        </w:rPr>
        <w:t>rock@allianceadvisors.com</w:t>
      </w:r>
    </w:p>
    <w:p>
      <w:pPr>
        <w:sectPr>
          <w:pgSz w:w="11900" w:h="16838" w:orient="portrait"/>
          <w:cols w:equalWidth="0" w:num="1">
            <w:col w:w="11240"/>
          </w:cols>
          <w:pgMar w:left="320" w:top="1440"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5205730</wp:posOffset>
            </wp:positionH>
            <wp:positionV relativeFrom="page">
              <wp:posOffset>243205</wp:posOffset>
            </wp:positionV>
            <wp:extent cx="2134235" cy="2743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2134235" cy="274320"/>
                    </a:xfrm>
                    <a:prstGeom prst="rect">
                      <a:avLst/>
                    </a:prstGeom>
                    <a:noFill/>
                  </pic:spPr>
                </pic:pic>
              </a:graphicData>
            </a:graphic>
          </wp:anchor>
        </w:drawing>
        <w:t>GIBRALTAR INDUSTRIES,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6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500" w:type="dxa"/>
            <w:vAlign w:val="bottom"/>
            <w:gridSpan w:val="5"/>
          </w:tcPr>
          <w:p>
            <w:pPr>
              <w:jc w:val="center"/>
              <w:ind w:right="380"/>
              <w:spacing w:after="0"/>
              <w:rPr>
                <w:sz w:val="20"/>
                <w:szCs w:val="20"/>
                <w:color w:val="auto"/>
              </w:rPr>
            </w:pPr>
            <w:r>
              <w:rPr>
                <w:rFonts w:ascii="Arial" w:cs="Arial" w:eastAsia="Arial" w:hAnsi="Arial"/>
                <w:sz w:val="16"/>
                <w:szCs w:val="16"/>
                <w:color w:val="auto"/>
              </w:rPr>
              <w:t>Three Months Ended</w:t>
            </w:r>
          </w:p>
        </w:tc>
        <w:tc>
          <w:tcPr>
            <w:tcW w:w="280" w:type="dxa"/>
            <w:vAlign w:val="bottom"/>
          </w:tcPr>
          <w:p>
            <w:pPr>
              <w:spacing w:after="0"/>
              <w:rPr>
                <w:sz w:val="16"/>
                <w:szCs w:val="16"/>
                <w:color w:val="auto"/>
              </w:rPr>
            </w:pPr>
          </w:p>
        </w:tc>
        <w:tc>
          <w:tcPr>
            <w:tcW w:w="2500" w:type="dxa"/>
            <w:vAlign w:val="bottom"/>
            <w:gridSpan w:val="4"/>
          </w:tcPr>
          <w:p>
            <w:pPr>
              <w:jc w:val="right"/>
              <w:ind w:right="590"/>
              <w:spacing w:after="0"/>
              <w:rPr>
                <w:sz w:val="20"/>
                <w:szCs w:val="20"/>
                <w:color w:val="auto"/>
              </w:rPr>
            </w:pPr>
            <w:r>
              <w:rPr>
                <w:rFonts w:ascii="Arial" w:cs="Arial" w:eastAsia="Arial" w:hAnsi="Arial"/>
                <w:sz w:val="16"/>
                <w:szCs w:val="16"/>
                <w:color w:val="auto"/>
              </w:rPr>
              <w:t>Nine Months Ended</w:t>
            </w:r>
          </w:p>
        </w:tc>
        <w:tc>
          <w:tcPr>
            <w:tcW w:w="0" w:type="dxa"/>
            <w:vAlign w:val="bottom"/>
          </w:tcPr>
          <w:p>
            <w:pPr>
              <w:spacing w:after="0"/>
              <w:rPr>
                <w:sz w:val="1"/>
                <w:szCs w:val="1"/>
                <w:color w:val="auto"/>
              </w:rPr>
            </w:pPr>
          </w:p>
        </w:tc>
      </w:tr>
      <w:tr>
        <w:trPr>
          <w:trHeight w:val="215"/>
        </w:trPr>
        <w:tc>
          <w:tcPr>
            <w:tcW w:w="5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500" w:type="dxa"/>
            <w:vAlign w:val="bottom"/>
            <w:gridSpan w:val="5"/>
          </w:tcPr>
          <w:p>
            <w:pPr>
              <w:jc w:val="center"/>
              <w:ind w:right="400"/>
              <w:spacing w:after="0"/>
              <w:rPr>
                <w:sz w:val="20"/>
                <w:szCs w:val="20"/>
                <w:color w:val="auto"/>
              </w:rPr>
            </w:pPr>
            <w:r>
              <w:rPr>
                <w:rFonts w:ascii="Arial" w:cs="Arial" w:eastAsia="Arial" w:hAnsi="Arial"/>
                <w:sz w:val="16"/>
                <w:szCs w:val="16"/>
                <w:color w:val="auto"/>
              </w:rPr>
              <w:t>September 30,</w:t>
            </w:r>
          </w:p>
        </w:tc>
        <w:tc>
          <w:tcPr>
            <w:tcW w:w="280" w:type="dxa"/>
            <w:vAlign w:val="bottom"/>
          </w:tcPr>
          <w:p>
            <w:pPr>
              <w:spacing w:after="0"/>
              <w:rPr>
                <w:sz w:val="18"/>
                <w:szCs w:val="18"/>
                <w:color w:val="auto"/>
              </w:rPr>
            </w:pPr>
          </w:p>
        </w:tc>
        <w:tc>
          <w:tcPr>
            <w:tcW w:w="1640" w:type="dxa"/>
            <w:vAlign w:val="bottom"/>
            <w:gridSpan w:val="3"/>
          </w:tcPr>
          <w:p>
            <w:pPr>
              <w:jc w:val="right"/>
              <w:spacing w:after="0"/>
              <w:rPr>
                <w:sz w:val="20"/>
                <w:szCs w:val="20"/>
                <w:color w:val="auto"/>
              </w:rPr>
            </w:pPr>
            <w:r>
              <w:rPr>
                <w:rFonts w:ascii="Arial" w:cs="Arial" w:eastAsia="Arial" w:hAnsi="Arial"/>
                <w:sz w:val="16"/>
                <w:szCs w:val="16"/>
                <w:color w:val="auto"/>
              </w:rPr>
              <w:t>September 30,</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71"/>
              <w:spacing w:after="0"/>
              <w:rPr>
                <w:sz w:val="20"/>
                <w:szCs w:val="20"/>
                <w:color w:val="auto"/>
              </w:rPr>
            </w:pPr>
            <w:r>
              <w:rPr>
                <w:rFonts w:ascii="Arial" w:cs="Arial" w:eastAsia="Arial" w:hAnsi="Arial"/>
                <w:sz w:val="16"/>
                <w:szCs w:val="16"/>
                <w:color w:val="auto"/>
              </w:rPr>
              <w:t>2026</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90"/>
              <w:spacing w:after="0"/>
              <w:rPr>
                <w:sz w:val="20"/>
                <w:szCs w:val="20"/>
                <w:color w:val="auto"/>
              </w:rPr>
            </w:pPr>
            <w:r>
              <w:rPr>
                <w:rFonts w:ascii="Arial" w:cs="Arial" w:eastAsia="Arial" w:hAnsi="Arial"/>
                <w:sz w:val="16"/>
                <w:szCs w:val="16"/>
                <w:color w:val="auto"/>
              </w:rPr>
              <w:t>2025</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11"/>
              <w:spacing w:after="0"/>
              <w:rPr>
                <w:sz w:val="20"/>
                <w:szCs w:val="20"/>
                <w:color w:val="auto"/>
              </w:rPr>
            </w:pPr>
            <w:r>
              <w:rPr>
                <w:rFonts w:ascii="Arial" w:cs="Arial" w:eastAsia="Arial" w:hAnsi="Arial"/>
                <w:sz w:val="16"/>
                <w:szCs w:val="16"/>
                <w:color w:val="auto"/>
              </w:rPr>
              <w:t>2026</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90"/>
              <w:spacing w:after="0"/>
              <w:rPr>
                <w:sz w:val="20"/>
                <w:szCs w:val="20"/>
                <w:color w:val="auto"/>
              </w:rPr>
            </w:pPr>
            <w:r>
              <w:rPr>
                <w:rFonts w:ascii="Arial" w:cs="Arial" w:eastAsia="Arial" w:hAnsi="Arial"/>
                <w:sz w:val="16"/>
                <w:szCs w:val="16"/>
                <w:color w:val="auto"/>
              </w:rPr>
              <w:t>2025</w:t>
            </w:r>
          </w:p>
        </w:tc>
        <w:tc>
          <w:tcPr>
            <w:tcW w:w="0" w:type="dxa"/>
            <w:vAlign w:val="bottom"/>
          </w:tcPr>
          <w:p>
            <w:pPr>
              <w:spacing w:after="0"/>
              <w:rPr>
                <w:sz w:val="1"/>
                <w:szCs w:val="1"/>
                <w:color w:val="auto"/>
              </w:rPr>
            </w:pPr>
          </w:p>
        </w:tc>
      </w:tr>
      <w:tr>
        <w:trPr>
          <w:trHeight w:val="224"/>
        </w:trPr>
        <w:tc>
          <w:tcPr>
            <w:tcW w:w="5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479,570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310,939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1,345,404</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866,813</w:t>
            </w:r>
          </w:p>
        </w:tc>
        <w:tc>
          <w:tcPr>
            <w:tcW w:w="0" w:type="dxa"/>
            <w:vAlign w:val="bottom"/>
          </w:tcPr>
          <w:p>
            <w:pPr>
              <w:spacing w:after="0"/>
              <w:rPr>
                <w:sz w:val="1"/>
                <w:szCs w:val="1"/>
                <w:color w:val="auto"/>
              </w:rPr>
            </w:pPr>
          </w:p>
        </w:tc>
      </w:tr>
      <w:tr>
        <w:trPr>
          <w:trHeight w:val="229"/>
        </w:trPr>
        <w:tc>
          <w:tcPr>
            <w:tcW w:w="56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sales</w:t>
            </w: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364,522</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228,193</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1,019,408</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626,379</w:t>
            </w:r>
          </w:p>
        </w:tc>
        <w:tc>
          <w:tcPr>
            <w:tcW w:w="0" w:type="dxa"/>
            <w:vAlign w:val="bottom"/>
          </w:tcPr>
          <w:p>
            <w:pPr>
              <w:spacing w:after="0"/>
              <w:rPr>
                <w:sz w:val="1"/>
                <w:szCs w:val="1"/>
                <w:color w:val="auto"/>
              </w:rPr>
            </w:pPr>
          </w:p>
        </w:tc>
      </w:tr>
      <w:tr>
        <w:trPr>
          <w:trHeight w:val="223"/>
        </w:trPr>
        <w:tc>
          <w:tcPr>
            <w:tcW w:w="5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Gross profit</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115,048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82,746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325,996</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240,434</w:t>
            </w:r>
          </w:p>
        </w:tc>
        <w:tc>
          <w:tcPr>
            <w:tcW w:w="0" w:type="dxa"/>
            <w:vAlign w:val="bottom"/>
          </w:tcPr>
          <w:p>
            <w:pPr>
              <w:spacing w:after="0"/>
              <w:rPr>
                <w:sz w:val="1"/>
                <w:szCs w:val="1"/>
                <w:color w:val="auto"/>
              </w:rPr>
            </w:pPr>
          </w:p>
        </w:tc>
      </w:tr>
      <w:tr>
        <w:trPr>
          <w:trHeight w:val="229"/>
        </w:trPr>
        <w:tc>
          <w:tcPr>
            <w:tcW w:w="56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Selling, general, and administrative expense</w:t>
            </w: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65,786</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42,804</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221,371</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132,331</w:t>
            </w:r>
          </w:p>
        </w:tc>
        <w:tc>
          <w:tcPr>
            <w:tcW w:w="0" w:type="dxa"/>
            <w:vAlign w:val="bottom"/>
          </w:tcPr>
          <w:p>
            <w:pPr>
              <w:spacing w:after="0"/>
              <w:rPr>
                <w:sz w:val="1"/>
                <w:szCs w:val="1"/>
                <w:color w:val="auto"/>
              </w:rPr>
            </w:pPr>
          </w:p>
        </w:tc>
      </w:tr>
      <w:tr>
        <w:trPr>
          <w:trHeight w:val="223"/>
        </w:trPr>
        <w:tc>
          <w:tcPr>
            <w:tcW w:w="5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Operating income</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49,262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39,942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104,625</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108,103</w:t>
            </w:r>
          </w:p>
        </w:tc>
        <w:tc>
          <w:tcPr>
            <w:tcW w:w="0" w:type="dxa"/>
            <w:vAlign w:val="bottom"/>
          </w:tcPr>
          <w:p>
            <w:pPr>
              <w:spacing w:after="0"/>
              <w:rPr>
                <w:sz w:val="1"/>
                <w:szCs w:val="1"/>
                <w:color w:val="auto"/>
              </w:rPr>
            </w:pPr>
          </w:p>
        </w:tc>
      </w:tr>
      <w:tr>
        <w:trPr>
          <w:trHeight w:val="229"/>
        </w:trPr>
        <w:tc>
          <w:tcPr>
            <w:tcW w:w="5680" w:type="dxa"/>
            <w:vAlign w:val="bottom"/>
          </w:tcPr>
          <w:p>
            <w:pPr>
              <w:ind w:left="20"/>
              <w:spacing w:after="0"/>
              <w:rPr>
                <w:sz w:val="20"/>
                <w:szCs w:val="20"/>
                <w:color w:val="auto"/>
              </w:rPr>
            </w:pPr>
            <w:r>
              <w:rPr>
                <w:rFonts w:ascii="Arial" w:cs="Arial" w:eastAsia="Arial" w:hAnsi="Arial"/>
                <w:sz w:val="18"/>
                <w:szCs w:val="18"/>
                <w:color w:val="auto"/>
              </w:rPr>
              <w:t>Interest expense (income), net</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21,522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55,511</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(1,281)</w:t>
            </w:r>
          </w:p>
        </w:tc>
        <w:tc>
          <w:tcPr>
            <w:tcW w:w="0" w:type="dxa"/>
            <w:vAlign w:val="bottom"/>
          </w:tcPr>
          <w:p>
            <w:pPr>
              <w:spacing w:after="0"/>
              <w:rPr>
                <w:sz w:val="1"/>
                <w:szCs w:val="1"/>
                <w:color w:val="auto"/>
              </w:rPr>
            </w:pPr>
          </w:p>
        </w:tc>
      </w:tr>
      <w:tr>
        <w:trPr>
          <w:trHeight w:val="230"/>
        </w:trPr>
        <w:tc>
          <w:tcPr>
            <w:tcW w:w="5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net</w:t>
            </w: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(2,721)</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(1,989)</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(2,640)</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(2,018)</w:t>
            </w:r>
          </w:p>
        </w:tc>
        <w:tc>
          <w:tcPr>
            <w:tcW w:w="0" w:type="dxa"/>
            <w:vAlign w:val="bottom"/>
          </w:tcPr>
          <w:p>
            <w:pPr>
              <w:spacing w:after="0"/>
              <w:rPr>
                <w:sz w:val="1"/>
                <w:szCs w:val="1"/>
                <w:color w:val="auto"/>
              </w:rPr>
            </w:pPr>
          </w:p>
        </w:tc>
      </w:tr>
      <w:tr>
        <w:trPr>
          <w:trHeight w:val="223"/>
        </w:trPr>
        <w:tc>
          <w:tcPr>
            <w:tcW w:w="5680" w:type="dxa"/>
            <w:vAlign w:val="bottom"/>
          </w:tcPr>
          <w:p>
            <w:pPr>
              <w:ind w:left="360"/>
              <w:spacing w:after="0"/>
              <w:rPr>
                <w:sz w:val="20"/>
                <w:szCs w:val="20"/>
                <w:color w:val="auto"/>
              </w:rPr>
            </w:pPr>
            <w:r>
              <w:rPr>
                <w:rFonts w:ascii="Arial" w:cs="Arial" w:eastAsia="Arial" w:hAnsi="Arial"/>
                <w:sz w:val="18"/>
                <w:szCs w:val="18"/>
                <w:color w:val="auto"/>
              </w:rPr>
              <w:t>Income before taxes from continuing operations</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30,461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41,929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51,754</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111,402</w:t>
            </w:r>
          </w:p>
        </w:tc>
        <w:tc>
          <w:tcPr>
            <w:tcW w:w="0" w:type="dxa"/>
            <w:vAlign w:val="bottom"/>
          </w:tcPr>
          <w:p>
            <w:pPr>
              <w:spacing w:after="0"/>
              <w:rPr>
                <w:sz w:val="1"/>
                <w:szCs w:val="1"/>
                <w:color w:val="auto"/>
              </w:rPr>
            </w:pPr>
          </w:p>
        </w:tc>
      </w:tr>
      <w:tr>
        <w:trPr>
          <w:trHeight w:val="230"/>
        </w:trPr>
        <w:tc>
          <w:tcPr>
            <w:tcW w:w="5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9,835</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8,724</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15,847</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25,644</w:t>
            </w:r>
          </w:p>
        </w:tc>
        <w:tc>
          <w:tcPr>
            <w:tcW w:w="0" w:type="dxa"/>
            <w:vAlign w:val="bottom"/>
          </w:tcPr>
          <w:p>
            <w:pPr>
              <w:spacing w:after="0"/>
              <w:rPr>
                <w:sz w:val="1"/>
                <w:szCs w:val="1"/>
                <w:color w:val="auto"/>
              </w:rPr>
            </w:pPr>
          </w:p>
        </w:tc>
      </w:tr>
      <w:tr>
        <w:trPr>
          <w:trHeight w:val="223"/>
        </w:trPr>
        <w:tc>
          <w:tcPr>
            <w:tcW w:w="5680" w:type="dxa"/>
            <w:vAlign w:val="bottom"/>
          </w:tcPr>
          <w:p>
            <w:pPr>
              <w:ind w:left="360"/>
              <w:spacing w:after="0"/>
              <w:rPr>
                <w:sz w:val="20"/>
                <w:szCs w:val="20"/>
                <w:color w:val="auto"/>
              </w:rPr>
            </w:pPr>
            <w:r>
              <w:rPr>
                <w:rFonts w:ascii="Arial" w:cs="Arial" w:eastAsia="Arial" w:hAnsi="Arial"/>
                <w:sz w:val="18"/>
                <w:szCs w:val="18"/>
                <w:color w:val="auto"/>
              </w:rPr>
              <w:t>Income from continuing operations</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20,626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33,205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35,907</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85,758</w:t>
            </w:r>
          </w:p>
        </w:tc>
        <w:tc>
          <w:tcPr>
            <w:tcW w:w="0" w:type="dxa"/>
            <w:vAlign w:val="bottom"/>
          </w:tcPr>
          <w:p>
            <w:pPr>
              <w:spacing w:after="0"/>
              <w:rPr>
                <w:sz w:val="1"/>
                <w:szCs w:val="1"/>
                <w:color w:val="auto"/>
              </w:rPr>
            </w:pPr>
          </w:p>
        </w:tc>
      </w:tr>
      <w:tr>
        <w:trPr>
          <w:trHeight w:val="229"/>
        </w:trPr>
        <w:tc>
          <w:tcPr>
            <w:tcW w:w="5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Discontinued operations:</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80" w:type="dxa"/>
            <w:vAlign w:val="bottom"/>
          </w:tcPr>
          <w:p>
            <w:pPr>
              <w:ind w:left="360"/>
              <w:spacing w:after="0"/>
              <w:rPr>
                <w:sz w:val="20"/>
                <w:szCs w:val="20"/>
                <w:color w:val="auto"/>
              </w:rPr>
            </w:pPr>
            <w:r>
              <w:rPr>
                <w:rFonts w:ascii="Arial" w:cs="Arial" w:eastAsia="Arial" w:hAnsi="Arial"/>
                <w:sz w:val="18"/>
                <w:szCs w:val="18"/>
                <w:color w:val="auto"/>
              </w:rPr>
              <w:t>Loss before taxes from discontinued operations</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(12,567)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(163,178)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(95,020)</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(171,722)</w:t>
            </w:r>
          </w:p>
        </w:tc>
        <w:tc>
          <w:tcPr>
            <w:tcW w:w="0" w:type="dxa"/>
            <w:vAlign w:val="bottom"/>
          </w:tcPr>
          <w:p>
            <w:pPr>
              <w:spacing w:after="0"/>
              <w:rPr>
                <w:sz w:val="1"/>
                <w:szCs w:val="1"/>
                <w:color w:val="auto"/>
              </w:rPr>
            </w:pPr>
          </w:p>
        </w:tc>
      </w:tr>
      <w:tr>
        <w:trPr>
          <w:trHeight w:val="229"/>
        </w:trPr>
        <w:tc>
          <w:tcPr>
            <w:tcW w:w="5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Benefit of income taxes from discontinued operations</w:t>
            </w: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(3,653)</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(40,911)</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(11,545)</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(44,025)</w:t>
            </w:r>
          </w:p>
        </w:tc>
        <w:tc>
          <w:tcPr>
            <w:tcW w:w="0" w:type="dxa"/>
            <w:vAlign w:val="bottom"/>
          </w:tcPr>
          <w:p>
            <w:pPr>
              <w:spacing w:after="0"/>
              <w:rPr>
                <w:sz w:val="1"/>
                <w:szCs w:val="1"/>
                <w:color w:val="auto"/>
              </w:rPr>
            </w:pPr>
          </w:p>
        </w:tc>
      </w:tr>
      <w:tr>
        <w:trPr>
          <w:trHeight w:val="223"/>
        </w:trPr>
        <w:tc>
          <w:tcPr>
            <w:tcW w:w="568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Loss from discontinued operations</w:t>
            </w: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(8,914)</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(122,267)</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(83,475)</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(127,697)</w:t>
            </w:r>
          </w:p>
        </w:tc>
        <w:tc>
          <w:tcPr>
            <w:tcW w:w="0" w:type="dxa"/>
            <w:vAlign w:val="bottom"/>
          </w:tcPr>
          <w:p>
            <w:pPr>
              <w:spacing w:after="0"/>
              <w:rPr>
                <w:sz w:val="1"/>
                <w:szCs w:val="1"/>
                <w:color w:val="auto"/>
              </w:rPr>
            </w:pPr>
          </w:p>
        </w:tc>
      </w:tr>
      <w:tr>
        <w:trPr>
          <w:trHeight w:val="248"/>
        </w:trPr>
        <w:tc>
          <w:tcPr>
            <w:tcW w:w="56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Net income (loss)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11,712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(89,062)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(47,568)</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(41,939)</w:t>
            </w:r>
          </w:p>
        </w:tc>
        <w:tc>
          <w:tcPr>
            <w:tcW w:w="0" w:type="dxa"/>
            <w:vAlign w:val="bottom"/>
          </w:tcPr>
          <w:p>
            <w:pPr>
              <w:spacing w:after="0"/>
              <w:rPr>
                <w:sz w:val="1"/>
                <w:szCs w:val="1"/>
                <w:color w:val="auto"/>
              </w:rPr>
            </w:pPr>
          </w:p>
        </w:tc>
      </w:tr>
      <w:tr>
        <w:trPr>
          <w:trHeight w:val="20"/>
        </w:trPr>
        <w:tc>
          <w:tcPr>
            <w:tcW w:w="56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Net earnings per share – Basic:</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68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 from continuing operations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w:t>
            </w:r>
          </w:p>
        </w:tc>
        <w:tc>
          <w:tcPr>
            <w:tcW w:w="0" w:type="dxa"/>
            <w:vAlign w:val="bottom"/>
          </w:tcPr>
          <w:p>
            <w:pPr>
              <w:spacing w:after="0"/>
              <w:rPr>
                <w:sz w:val="1"/>
                <w:szCs w:val="1"/>
                <w:color w:val="auto"/>
              </w:rPr>
            </w:pPr>
          </w:p>
        </w:tc>
      </w:tr>
      <w:tr>
        <w:trPr>
          <w:trHeight w:val="230"/>
        </w:trPr>
        <w:tc>
          <w:tcPr>
            <w:tcW w:w="568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Loss from discontinued operations</w:t>
            </w: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(0.30)</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(4.11)</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(2.80)</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(4.27)</w:t>
            </w:r>
          </w:p>
        </w:tc>
        <w:tc>
          <w:tcPr>
            <w:tcW w:w="0" w:type="dxa"/>
            <w:vAlign w:val="bottom"/>
          </w:tcPr>
          <w:p>
            <w:pPr>
              <w:spacing w:after="0"/>
              <w:rPr>
                <w:sz w:val="1"/>
                <w:szCs w:val="1"/>
                <w:color w:val="auto"/>
              </w:rPr>
            </w:pPr>
          </w:p>
        </w:tc>
      </w:tr>
      <w:tr>
        <w:trPr>
          <w:trHeight w:val="248"/>
        </w:trPr>
        <w:tc>
          <w:tcPr>
            <w:tcW w:w="56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Net income (loss)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0"/>
        </w:trPr>
        <w:tc>
          <w:tcPr>
            <w:tcW w:w="56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Weighted average shares outstanding – Basic</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680" w:type="dxa"/>
            <w:vAlign w:val="bottom"/>
            <w:vMerge w:val="continue"/>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29,793</w:t>
            </w: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29,736</w:t>
            </w: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29,786</w:t>
            </w:r>
          </w:p>
        </w:tc>
        <w:tc>
          <w:tcPr>
            <w:tcW w:w="10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29,925</w:t>
            </w:r>
          </w:p>
        </w:tc>
        <w:tc>
          <w:tcPr>
            <w:tcW w:w="0" w:type="dxa"/>
            <w:vAlign w:val="bottom"/>
          </w:tcPr>
          <w:p>
            <w:pPr>
              <w:spacing w:after="0"/>
              <w:rPr>
                <w:sz w:val="1"/>
                <w:szCs w:val="1"/>
                <w:color w:val="auto"/>
              </w:rPr>
            </w:pPr>
          </w:p>
        </w:tc>
      </w:tr>
      <w:tr>
        <w:trPr>
          <w:trHeight w:val="20"/>
        </w:trPr>
        <w:tc>
          <w:tcPr>
            <w:tcW w:w="56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68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Net earnings per share – Diluted:</w:t>
            </w: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680" w:type="dxa"/>
            <w:vAlign w:val="bottom"/>
          </w:tcPr>
          <w:p>
            <w:pPr>
              <w:ind w:left="360"/>
              <w:spacing w:after="0"/>
              <w:rPr>
                <w:sz w:val="20"/>
                <w:szCs w:val="20"/>
                <w:color w:val="auto"/>
              </w:rPr>
            </w:pPr>
            <w:r>
              <w:rPr>
                <w:rFonts w:ascii="Arial" w:cs="Arial" w:eastAsia="Arial" w:hAnsi="Arial"/>
                <w:sz w:val="18"/>
                <w:szCs w:val="18"/>
                <w:color w:val="auto"/>
              </w:rPr>
              <w:t>Income from continuing operations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0.69</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1.11</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1.20</w:t>
            </w:r>
          </w:p>
        </w:tc>
        <w:tc>
          <w:tcPr>
            <w:tcW w:w="100" w:type="dxa"/>
            <w:vAlign w:val="bottom"/>
          </w:tcPr>
          <w:p>
            <w:pPr>
              <w:spacing w:after="0"/>
              <w:rPr>
                <w:sz w:val="19"/>
                <w:szCs w:val="19"/>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2.85</w:t>
            </w:r>
          </w:p>
        </w:tc>
        <w:tc>
          <w:tcPr>
            <w:tcW w:w="0" w:type="dxa"/>
            <w:vAlign w:val="bottom"/>
          </w:tcPr>
          <w:p>
            <w:pPr>
              <w:spacing w:after="0"/>
              <w:rPr>
                <w:sz w:val="1"/>
                <w:szCs w:val="1"/>
                <w:color w:val="auto"/>
              </w:rPr>
            </w:pPr>
          </w:p>
        </w:tc>
      </w:tr>
      <w:tr>
        <w:trPr>
          <w:trHeight w:val="229"/>
        </w:trPr>
        <w:tc>
          <w:tcPr>
            <w:tcW w:w="5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Loss from discontinued operations</w:t>
            </w: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(0.30)</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(4.09)</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(4.25)</w:t>
            </w:r>
          </w:p>
        </w:tc>
        <w:tc>
          <w:tcPr>
            <w:tcW w:w="0" w:type="dxa"/>
            <w:vAlign w:val="bottom"/>
          </w:tcPr>
          <w:p>
            <w:pPr>
              <w:spacing w:after="0"/>
              <w:rPr>
                <w:sz w:val="1"/>
                <w:szCs w:val="1"/>
                <w:color w:val="auto"/>
              </w:rPr>
            </w:pPr>
          </w:p>
        </w:tc>
      </w:tr>
      <w:tr>
        <w:trPr>
          <w:trHeight w:val="223"/>
        </w:trPr>
        <w:tc>
          <w:tcPr>
            <w:tcW w:w="5680" w:type="dxa"/>
            <w:vAlign w:val="bottom"/>
          </w:tcPr>
          <w:p>
            <w:pPr>
              <w:ind w:left="360"/>
              <w:spacing w:after="0"/>
              <w:rPr>
                <w:sz w:val="20"/>
                <w:szCs w:val="20"/>
                <w:color w:val="auto"/>
              </w:rPr>
            </w:pPr>
            <w:r>
              <w:rPr>
                <w:rFonts w:ascii="Arial" w:cs="Arial" w:eastAsia="Arial" w:hAnsi="Arial"/>
                <w:sz w:val="18"/>
                <w:szCs w:val="18"/>
                <w:color w:val="auto"/>
              </w:rPr>
              <w:t>Net income (loss)</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0.39</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(2.98)</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w:t>
            </w:r>
          </w:p>
        </w:tc>
        <w:tc>
          <w:tcPr>
            <w:tcW w:w="100" w:type="dxa"/>
            <w:vAlign w:val="bottom"/>
          </w:tcPr>
          <w:p>
            <w:pPr>
              <w:spacing w:after="0"/>
              <w:rPr>
                <w:sz w:val="19"/>
                <w:szCs w:val="19"/>
                <w:color w:val="auto"/>
              </w:rPr>
            </w:pPr>
          </w:p>
        </w:tc>
        <w:tc>
          <w:tcPr>
            <w:tcW w:w="4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0"/>
        </w:trPr>
        <w:tc>
          <w:tcPr>
            <w:tcW w:w="56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5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 average shares outstanding – Diluted</w:t>
            </w:r>
          </w:p>
        </w:tc>
        <w:tc>
          <w:tcPr>
            <w:tcW w:w="28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29,906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29,863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29,863</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30,038</w:t>
            </w:r>
          </w:p>
        </w:tc>
        <w:tc>
          <w:tcPr>
            <w:tcW w:w="0" w:type="dxa"/>
            <w:vAlign w:val="bottom"/>
          </w:tcPr>
          <w:p>
            <w:pPr>
              <w:spacing w:after="0"/>
              <w:rPr>
                <w:sz w:val="1"/>
                <w:szCs w:val="1"/>
                <w:color w:val="auto"/>
              </w:rPr>
            </w:pPr>
          </w:p>
        </w:tc>
      </w:tr>
      <w:tr>
        <w:trPr>
          <w:trHeight w:val="20"/>
        </w:trPr>
        <w:tc>
          <w:tcPr>
            <w:tcW w:w="56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240"/>
          </w:cols>
          <w:pgMar w:left="320" w:top="1309"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5205730</wp:posOffset>
            </wp:positionH>
            <wp:positionV relativeFrom="page">
              <wp:posOffset>243205</wp:posOffset>
            </wp:positionV>
            <wp:extent cx="2134235" cy="2743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2134235" cy="274320"/>
                    </a:xfrm>
                    <a:prstGeom prst="rect">
                      <a:avLst/>
                    </a:prstGeom>
                    <a:noFill/>
                  </pic:spPr>
                </pic:pic>
              </a:graphicData>
            </a:graphic>
          </wp:anchor>
        </w:drawing>
        <w:t>GIBRALTAR INDUSTRIES, INC.</w:t>
      </w:r>
    </w:p>
    <w:p>
      <w:pPr>
        <w:spacing w:after="0" w:line="27" w:lineRule="exact"/>
        <w:rPr>
          <w:sz w:val="20"/>
          <w:szCs w:val="20"/>
          <w:color w:val="auto"/>
        </w:rPr>
      </w:pPr>
    </w:p>
    <w:p>
      <w:pPr>
        <w:ind w:left="4100"/>
        <w:spacing w:after="0"/>
        <w:rPr>
          <w:sz w:val="20"/>
          <w:szCs w:val="20"/>
          <w:color w:val="auto"/>
        </w:rPr>
      </w:pPr>
      <w:r>
        <w:rPr>
          <w:rFonts w:ascii="Arial" w:cs="Arial" w:eastAsia="Arial" w:hAnsi="Arial"/>
          <w:sz w:val="18"/>
          <w:szCs w:val="18"/>
          <w:color w:val="auto"/>
        </w:rPr>
        <w:t>CONSOLIDATED BALANCE SHEETS</w:t>
      </w:r>
    </w:p>
    <w:p>
      <w:pPr>
        <w:spacing w:after="0" w:line="9" w:lineRule="exact"/>
        <w:rPr>
          <w:sz w:val="20"/>
          <w:szCs w:val="20"/>
          <w:color w:val="auto"/>
        </w:rPr>
      </w:pPr>
    </w:p>
    <w:p>
      <w:pPr>
        <w:ind w:left="4140"/>
        <w:spacing w:after="0"/>
        <w:rPr>
          <w:sz w:val="20"/>
          <w:szCs w:val="20"/>
          <w:color w:val="auto"/>
        </w:rPr>
      </w:pPr>
      <w:r>
        <w:rPr>
          <w:rFonts w:ascii="Arial" w:cs="Arial" w:eastAsia="Arial" w:hAnsi="Arial"/>
          <w:sz w:val="18"/>
          <w:szCs w:val="18"/>
          <w:color w:val="auto"/>
        </w:rPr>
        <w:t>(in thousands, except per share data)</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80" w:type="dxa"/>
            <w:vAlign w:val="bottom"/>
            <w:gridSpan w:val="2"/>
          </w:tcPr>
          <w:p>
            <w:pPr>
              <w:jc w:val="center"/>
              <w:ind w:right="320"/>
              <w:spacing w:after="0"/>
              <w:rPr>
                <w:sz w:val="20"/>
                <w:szCs w:val="20"/>
                <w:color w:val="auto"/>
              </w:rPr>
            </w:pPr>
            <w:r>
              <w:rPr>
                <w:rFonts w:ascii="Arial" w:cs="Arial" w:eastAsia="Arial" w:hAnsi="Arial"/>
                <w:sz w:val="16"/>
                <w:szCs w:val="16"/>
                <w:color w:val="auto"/>
              </w:rPr>
              <w:t>September 30,</w:t>
            </w:r>
          </w:p>
        </w:tc>
        <w:tc>
          <w:tcPr>
            <w:tcW w:w="200" w:type="dxa"/>
            <w:vAlign w:val="bottom"/>
          </w:tcPr>
          <w:p>
            <w:pPr>
              <w:spacing w:after="0"/>
              <w:rPr>
                <w:sz w:val="16"/>
                <w:szCs w:val="16"/>
                <w:color w:val="auto"/>
              </w:rPr>
            </w:pPr>
          </w:p>
        </w:tc>
        <w:tc>
          <w:tcPr>
            <w:tcW w:w="1380" w:type="dxa"/>
            <w:vAlign w:val="bottom"/>
          </w:tcPr>
          <w:p>
            <w:pPr>
              <w:jc w:val="right"/>
              <w:ind w:right="191"/>
              <w:spacing w:after="0"/>
              <w:rPr>
                <w:sz w:val="20"/>
                <w:szCs w:val="20"/>
                <w:color w:val="auto"/>
              </w:rPr>
            </w:pPr>
            <w:r>
              <w:rPr>
                <w:rFonts w:ascii="Arial" w:cs="Arial" w:eastAsia="Arial" w:hAnsi="Arial"/>
                <w:sz w:val="16"/>
                <w:szCs w:val="16"/>
                <w:color w:val="auto"/>
              </w:rPr>
              <w:t>December 31,</w:t>
            </w:r>
          </w:p>
        </w:tc>
        <w:tc>
          <w:tcPr>
            <w:tcW w:w="0" w:type="dxa"/>
            <w:vAlign w:val="bottom"/>
          </w:tcPr>
          <w:p>
            <w:pPr>
              <w:spacing w:after="0"/>
              <w:rPr>
                <w:sz w:val="1"/>
                <w:szCs w:val="1"/>
                <w:color w:val="auto"/>
              </w:rPr>
            </w:pPr>
          </w:p>
        </w:tc>
      </w:tr>
      <w:tr>
        <w:trPr>
          <w:trHeight w:val="215"/>
        </w:trPr>
        <w:tc>
          <w:tcPr>
            <w:tcW w:w="78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center"/>
              <w:ind w:right="131"/>
              <w:spacing w:after="0"/>
              <w:rPr>
                <w:sz w:val="20"/>
                <w:szCs w:val="20"/>
                <w:color w:val="auto"/>
              </w:rPr>
            </w:pPr>
            <w:r>
              <w:rPr>
                <w:rFonts w:ascii="Arial" w:cs="Arial" w:eastAsia="Arial" w:hAnsi="Arial"/>
                <w:sz w:val="16"/>
                <w:szCs w:val="16"/>
                <w:color w:val="auto"/>
              </w:rPr>
              <w:t>2026</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511"/>
              <w:spacing w:after="0"/>
              <w:rPr>
                <w:sz w:val="20"/>
                <w:szCs w:val="20"/>
                <w:color w:val="auto"/>
              </w:rPr>
            </w:pPr>
            <w:r>
              <w:rPr>
                <w:rFonts w:ascii="Arial" w:cs="Arial" w:eastAsia="Arial" w:hAnsi="Arial"/>
                <w:sz w:val="16"/>
                <w:szCs w:val="16"/>
                <w:color w:val="auto"/>
              </w:rPr>
              <w:t>2025</w:t>
            </w:r>
          </w:p>
        </w:tc>
        <w:tc>
          <w:tcPr>
            <w:tcW w:w="0" w:type="dxa"/>
            <w:vAlign w:val="bottom"/>
          </w:tcPr>
          <w:p>
            <w:pPr>
              <w:spacing w:after="0"/>
              <w:rPr>
                <w:sz w:val="1"/>
                <w:szCs w:val="1"/>
                <w:color w:val="auto"/>
              </w:rPr>
            </w:pPr>
          </w:p>
        </w:tc>
      </w:tr>
      <w:tr>
        <w:trPr>
          <w:trHeight w:val="197"/>
        </w:trPr>
        <w:tc>
          <w:tcPr>
            <w:tcW w:w="7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580" w:type="dxa"/>
            <w:vAlign w:val="bottom"/>
            <w:gridSpan w:val="2"/>
            <w:shd w:val="clear" w:color="auto" w:fill="CCEEFF"/>
          </w:tcPr>
          <w:p>
            <w:pPr>
              <w:jc w:val="center"/>
              <w:ind w:right="320"/>
              <w:spacing w:after="0"/>
              <w:rPr>
                <w:sz w:val="20"/>
                <w:szCs w:val="20"/>
                <w:color w:val="auto"/>
              </w:rPr>
            </w:pPr>
            <w:r>
              <w:rPr>
                <w:rFonts w:ascii="Arial" w:cs="Arial" w:eastAsia="Arial" w:hAnsi="Arial"/>
                <w:sz w:val="14"/>
                <w:szCs w:val="14"/>
                <w:color w:val="auto"/>
              </w:rPr>
              <w:t>(unaudited)</w:t>
            </w:r>
          </w:p>
        </w:tc>
        <w:tc>
          <w:tcPr>
            <w:tcW w:w="2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7880" w:type="dxa"/>
            <w:vAlign w:val="bottom"/>
          </w:tcPr>
          <w:p>
            <w:pPr>
              <w:ind w:left="20"/>
              <w:spacing w:after="0"/>
              <w:rPr>
                <w:sz w:val="20"/>
                <w:szCs w:val="20"/>
                <w:color w:val="auto"/>
              </w:rPr>
            </w:pPr>
            <w:r>
              <w:rPr>
                <w:rFonts w:ascii="Arial" w:cs="Arial" w:eastAsia="Arial" w:hAnsi="Arial"/>
                <w:sz w:val="18"/>
                <w:szCs w:val="18"/>
                <w:b w:val="1"/>
                <w:bCs w:val="1"/>
                <w:color w:val="auto"/>
              </w:rPr>
              <w:t>Assets</w:t>
            </w:r>
          </w:p>
        </w:tc>
        <w:tc>
          <w:tcPr>
            <w:tcW w:w="2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assets:</w:t>
            </w: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tcPr>
          <w:p>
            <w:pPr>
              <w:ind w:left="180"/>
              <w:spacing w:after="0"/>
              <w:rPr>
                <w:sz w:val="20"/>
                <w:szCs w:val="20"/>
                <w:color w:val="auto"/>
              </w:rPr>
            </w:pPr>
            <w:r>
              <w:rPr>
                <w:rFonts w:ascii="Arial" w:cs="Arial" w:eastAsia="Arial" w:hAnsi="Arial"/>
                <w:sz w:val="18"/>
                <w:szCs w:val="18"/>
                <w:color w:val="auto"/>
              </w:rPr>
              <w:t>Cash and cash equivalents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35,188</w:t>
            </w:r>
          </w:p>
        </w:tc>
        <w:tc>
          <w:tcPr>
            <w:tcW w:w="12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115,724</w:t>
            </w:r>
          </w:p>
        </w:tc>
        <w:tc>
          <w:tcPr>
            <w:tcW w:w="0" w:type="dxa"/>
            <w:vAlign w:val="bottom"/>
          </w:tcPr>
          <w:p>
            <w:pPr>
              <w:spacing w:after="0"/>
              <w:rPr>
                <w:sz w:val="1"/>
                <w:szCs w:val="1"/>
                <w:color w:val="auto"/>
              </w:rPr>
            </w:pPr>
          </w:p>
        </w:tc>
      </w:tr>
      <w:tr>
        <w:trPr>
          <w:trHeight w:val="229"/>
        </w:trPr>
        <w:tc>
          <w:tcPr>
            <w:tcW w:w="7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Trade receivables, net of allowance of $2,818 and $2,558, respectively</w:t>
            </w: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215,387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120,327</w:t>
            </w:r>
          </w:p>
        </w:tc>
        <w:tc>
          <w:tcPr>
            <w:tcW w:w="0" w:type="dxa"/>
            <w:vAlign w:val="bottom"/>
          </w:tcPr>
          <w:p>
            <w:pPr>
              <w:spacing w:after="0"/>
              <w:rPr>
                <w:sz w:val="1"/>
                <w:szCs w:val="1"/>
                <w:color w:val="auto"/>
              </w:rPr>
            </w:pPr>
          </w:p>
        </w:tc>
      </w:tr>
      <w:tr>
        <w:trPr>
          <w:trHeight w:val="230"/>
        </w:trPr>
        <w:tc>
          <w:tcPr>
            <w:tcW w:w="7880" w:type="dxa"/>
            <w:vAlign w:val="bottom"/>
          </w:tcPr>
          <w:p>
            <w:pPr>
              <w:ind w:left="180"/>
              <w:spacing w:after="0"/>
              <w:rPr>
                <w:sz w:val="20"/>
                <w:szCs w:val="20"/>
                <w:color w:val="auto"/>
              </w:rPr>
            </w:pPr>
            <w:r>
              <w:rPr>
                <w:rFonts w:ascii="Arial" w:cs="Arial" w:eastAsia="Arial" w:hAnsi="Arial"/>
                <w:sz w:val="18"/>
                <w:szCs w:val="18"/>
                <w:color w:val="auto"/>
              </w:rPr>
              <w:t>Costs in excess of billings, net</w:t>
            </w: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25,326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26,799</w:t>
            </w:r>
          </w:p>
        </w:tc>
        <w:tc>
          <w:tcPr>
            <w:tcW w:w="0" w:type="dxa"/>
            <w:vAlign w:val="bottom"/>
          </w:tcPr>
          <w:p>
            <w:pPr>
              <w:spacing w:after="0"/>
              <w:rPr>
                <w:sz w:val="1"/>
                <w:szCs w:val="1"/>
                <w:color w:val="auto"/>
              </w:rPr>
            </w:pPr>
          </w:p>
        </w:tc>
      </w:tr>
      <w:tr>
        <w:trPr>
          <w:trHeight w:val="229"/>
        </w:trPr>
        <w:tc>
          <w:tcPr>
            <w:tcW w:w="7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Inventories, net</w:t>
            </w: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277,193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116,770</w:t>
            </w:r>
          </w:p>
        </w:tc>
        <w:tc>
          <w:tcPr>
            <w:tcW w:w="0" w:type="dxa"/>
            <w:vAlign w:val="bottom"/>
          </w:tcPr>
          <w:p>
            <w:pPr>
              <w:spacing w:after="0"/>
              <w:rPr>
                <w:sz w:val="1"/>
                <w:szCs w:val="1"/>
                <w:color w:val="auto"/>
              </w:rPr>
            </w:pPr>
          </w:p>
        </w:tc>
      </w:tr>
      <w:tr>
        <w:trPr>
          <w:trHeight w:val="229"/>
        </w:trPr>
        <w:tc>
          <w:tcPr>
            <w:tcW w:w="7880" w:type="dxa"/>
            <w:vAlign w:val="bottom"/>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63,714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56,904</w:t>
            </w:r>
          </w:p>
        </w:tc>
        <w:tc>
          <w:tcPr>
            <w:tcW w:w="0" w:type="dxa"/>
            <w:vAlign w:val="bottom"/>
          </w:tcPr>
          <w:p>
            <w:pPr>
              <w:spacing w:after="0"/>
              <w:rPr>
                <w:sz w:val="1"/>
                <w:szCs w:val="1"/>
                <w:color w:val="auto"/>
              </w:rPr>
            </w:pPr>
          </w:p>
        </w:tc>
      </w:tr>
      <w:tr>
        <w:trPr>
          <w:trHeight w:val="230"/>
        </w:trPr>
        <w:tc>
          <w:tcPr>
            <w:tcW w:w="7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Assets of discontinued operations</w:t>
            </w:r>
          </w:p>
        </w:tc>
        <w:tc>
          <w:tcPr>
            <w:tcW w:w="20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11,342</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192,362</w:t>
            </w:r>
          </w:p>
        </w:tc>
        <w:tc>
          <w:tcPr>
            <w:tcW w:w="0" w:type="dxa"/>
            <w:vAlign w:val="bottom"/>
          </w:tcPr>
          <w:p>
            <w:pPr>
              <w:spacing w:after="0"/>
              <w:rPr>
                <w:sz w:val="1"/>
                <w:szCs w:val="1"/>
                <w:color w:val="auto"/>
              </w:rPr>
            </w:pPr>
          </w:p>
        </w:tc>
      </w:tr>
      <w:tr>
        <w:trPr>
          <w:trHeight w:val="223"/>
        </w:trPr>
        <w:tc>
          <w:tcPr>
            <w:tcW w:w="7880" w:type="dxa"/>
            <w:vAlign w:val="bottom"/>
          </w:tcPr>
          <w:p>
            <w:pPr>
              <w:ind w:left="680"/>
              <w:spacing w:after="0"/>
              <w:rPr>
                <w:sz w:val="20"/>
                <w:szCs w:val="20"/>
                <w:color w:val="auto"/>
              </w:rPr>
            </w:pPr>
            <w:r>
              <w:rPr>
                <w:rFonts w:ascii="Arial" w:cs="Arial" w:eastAsia="Arial" w:hAnsi="Arial"/>
                <w:sz w:val="18"/>
                <w:szCs w:val="18"/>
                <w:color w:val="auto"/>
              </w:rPr>
              <w:t>Total current assets</w:t>
            </w: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628,150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628,886</w:t>
            </w:r>
          </w:p>
        </w:tc>
        <w:tc>
          <w:tcPr>
            <w:tcW w:w="0" w:type="dxa"/>
            <w:vAlign w:val="bottom"/>
          </w:tcPr>
          <w:p>
            <w:pPr>
              <w:spacing w:after="0"/>
              <w:rPr>
                <w:sz w:val="1"/>
                <w:szCs w:val="1"/>
                <w:color w:val="auto"/>
              </w:rPr>
            </w:pPr>
          </w:p>
        </w:tc>
      </w:tr>
      <w:tr>
        <w:trPr>
          <w:trHeight w:val="230"/>
        </w:trPr>
        <w:tc>
          <w:tcPr>
            <w:tcW w:w="7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plant, and equipment, net</w:t>
            </w: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188,708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130,456</w:t>
            </w:r>
          </w:p>
        </w:tc>
        <w:tc>
          <w:tcPr>
            <w:tcW w:w="0" w:type="dxa"/>
            <w:vAlign w:val="bottom"/>
          </w:tcPr>
          <w:p>
            <w:pPr>
              <w:spacing w:after="0"/>
              <w:rPr>
                <w:sz w:val="1"/>
                <w:szCs w:val="1"/>
                <w:color w:val="auto"/>
              </w:rPr>
            </w:pPr>
          </w:p>
        </w:tc>
      </w:tr>
      <w:tr>
        <w:trPr>
          <w:trHeight w:val="229"/>
        </w:trPr>
        <w:tc>
          <w:tcPr>
            <w:tcW w:w="7880" w:type="dxa"/>
            <w:vAlign w:val="bottom"/>
          </w:tcPr>
          <w:p>
            <w:pPr>
              <w:ind w:left="20"/>
              <w:spacing w:after="0"/>
              <w:rPr>
                <w:sz w:val="20"/>
                <w:szCs w:val="20"/>
                <w:color w:val="auto"/>
              </w:rPr>
            </w:pPr>
            <w:r>
              <w:rPr>
                <w:rFonts w:ascii="Arial" w:cs="Arial" w:eastAsia="Arial" w:hAnsi="Arial"/>
                <w:sz w:val="18"/>
                <w:szCs w:val="18"/>
                <w:color w:val="auto"/>
              </w:rPr>
              <w:t>Operating lease assets</w:t>
            </w: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160,839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55,355</w:t>
            </w:r>
          </w:p>
        </w:tc>
        <w:tc>
          <w:tcPr>
            <w:tcW w:w="0" w:type="dxa"/>
            <w:vAlign w:val="bottom"/>
          </w:tcPr>
          <w:p>
            <w:pPr>
              <w:spacing w:after="0"/>
              <w:rPr>
                <w:sz w:val="1"/>
                <w:szCs w:val="1"/>
                <w:color w:val="auto"/>
              </w:rPr>
            </w:pPr>
          </w:p>
        </w:tc>
      </w:tr>
      <w:tr>
        <w:trPr>
          <w:trHeight w:val="229"/>
        </w:trPr>
        <w:tc>
          <w:tcPr>
            <w:tcW w:w="7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939,550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415,032</w:t>
            </w:r>
          </w:p>
        </w:tc>
        <w:tc>
          <w:tcPr>
            <w:tcW w:w="0" w:type="dxa"/>
            <w:vAlign w:val="bottom"/>
          </w:tcPr>
          <w:p>
            <w:pPr>
              <w:spacing w:after="0"/>
              <w:rPr>
                <w:sz w:val="1"/>
                <w:szCs w:val="1"/>
                <w:color w:val="auto"/>
              </w:rPr>
            </w:pPr>
          </w:p>
        </w:tc>
      </w:tr>
      <w:tr>
        <w:trPr>
          <w:trHeight w:val="230"/>
        </w:trPr>
        <w:tc>
          <w:tcPr>
            <w:tcW w:w="7880" w:type="dxa"/>
            <w:vAlign w:val="bottom"/>
          </w:tcPr>
          <w:p>
            <w:pPr>
              <w:ind w:left="20"/>
              <w:spacing w:after="0"/>
              <w:rPr>
                <w:sz w:val="20"/>
                <w:szCs w:val="20"/>
                <w:color w:val="auto"/>
              </w:rPr>
            </w:pPr>
            <w:r>
              <w:rPr>
                <w:rFonts w:ascii="Arial" w:cs="Arial" w:eastAsia="Arial" w:hAnsi="Arial"/>
                <w:sz w:val="18"/>
                <w:szCs w:val="18"/>
                <w:color w:val="auto"/>
              </w:rPr>
              <w:t>Customer relationships, net</w:t>
            </w: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608,540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109,092</w:t>
            </w:r>
          </w:p>
        </w:tc>
        <w:tc>
          <w:tcPr>
            <w:tcW w:w="0" w:type="dxa"/>
            <w:vAlign w:val="bottom"/>
          </w:tcPr>
          <w:p>
            <w:pPr>
              <w:spacing w:after="0"/>
              <w:rPr>
                <w:sz w:val="1"/>
                <w:szCs w:val="1"/>
                <w:color w:val="auto"/>
              </w:rPr>
            </w:pPr>
          </w:p>
        </w:tc>
      </w:tr>
      <w:tr>
        <w:trPr>
          <w:trHeight w:val="229"/>
        </w:trPr>
        <w:tc>
          <w:tcPr>
            <w:tcW w:w="7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intangibles, net</w:t>
            </w: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138,843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34,464</w:t>
            </w:r>
          </w:p>
        </w:tc>
        <w:tc>
          <w:tcPr>
            <w:tcW w:w="0" w:type="dxa"/>
            <w:vAlign w:val="bottom"/>
          </w:tcPr>
          <w:p>
            <w:pPr>
              <w:spacing w:after="0"/>
              <w:rPr>
                <w:sz w:val="1"/>
                <w:szCs w:val="1"/>
                <w:color w:val="auto"/>
              </w:rPr>
            </w:pPr>
          </w:p>
        </w:tc>
      </w:tr>
      <w:tr>
        <w:trPr>
          <w:trHeight w:val="230"/>
        </w:trPr>
        <w:tc>
          <w:tcPr>
            <w:tcW w:w="78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assets</w:t>
            </w:r>
          </w:p>
        </w:tc>
        <w:tc>
          <w:tcPr>
            <w:tcW w:w="2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19,760</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20,318</w:t>
            </w:r>
          </w:p>
        </w:tc>
        <w:tc>
          <w:tcPr>
            <w:tcW w:w="0" w:type="dxa"/>
            <w:vAlign w:val="bottom"/>
          </w:tcPr>
          <w:p>
            <w:pPr>
              <w:spacing w:after="0"/>
              <w:rPr>
                <w:sz w:val="1"/>
                <w:szCs w:val="1"/>
                <w:color w:val="auto"/>
              </w:rPr>
            </w:pPr>
          </w:p>
        </w:tc>
      </w:tr>
      <w:tr>
        <w:trPr>
          <w:trHeight w:val="248"/>
        </w:trPr>
        <w:tc>
          <w:tcPr>
            <w:tcW w:w="78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2,684,390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1,393,603</w:t>
            </w:r>
          </w:p>
        </w:tc>
        <w:tc>
          <w:tcPr>
            <w:tcW w:w="0" w:type="dxa"/>
            <w:vAlign w:val="bottom"/>
          </w:tcPr>
          <w:p>
            <w:pPr>
              <w:spacing w:after="0"/>
              <w:rPr>
                <w:sz w:val="1"/>
                <w:szCs w:val="1"/>
                <w:color w:val="auto"/>
              </w:rPr>
            </w:pPr>
          </w:p>
        </w:tc>
      </w:tr>
      <w:tr>
        <w:trPr>
          <w:trHeight w:val="20"/>
        </w:trPr>
        <w:tc>
          <w:tcPr>
            <w:tcW w:w="78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788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7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80" w:type="dxa"/>
            <w:vAlign w:val="bottom"/>
          </w:tcPr>
          <w:p>
            <w:pPr>
              <w:ind w:left="180"/>
              <w:spacing w:after="0"/>
              <w:rPr>
                <w:sz w:val="20"/>
                <w:szCs w:val="20"/>
                <w:color w:val="auto"/>
              </w:rPr>
            </w:pPr>
            <w:r>
              <w:rPr>
                <w:rFonts w:ascii="Arial" w:cs="Arial" w:eastAsia="Arial" w:hAnsi="Arial"/>
                <w:sz w:val="18"/>
                <w:szCs w:val="18"/>
                <w:color w:val="auto"/>
              </w:rPr>
              <w:t>Accounts payable</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207,062</w:t>
            </w:r>
          </w:p>
        </w:tc>
        <w:tc>
          <w:tcPr>
            <w:tcW w:w="12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108,216</w:t>
            </w:r>
          </w:p>
        </w:tc>
        <w:tc>
          <w:tcPr>
            <w:tcW w:w="0" w:type="dxa"/>
            <w:vAlign w:val="bottom"/>
          </w:tcPr>
          <w:p>
            <w:pPr>
              <w:spacing w:after="0"/>
              <w:rPr>
                <w:sz w:val="1"/>
                <w:szCs w:val="1"/>
                <w:color w:val="auto"/>
              </w:rPr>
            </w:pPr>
          </w:p>
        </w:tc>
      </w:tr>
      <w:tr>
        <w:trPr>
          <w:trHeight w:val="230"/>
        </w:trPr>
        <w:tc>
          <w:tcPr>
            <w:tcW w:w="7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Accrued expenses</w:t>
            </w: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128,006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155,807</w:t>
            </w:r>
          </w:p>
        </w:tc>
        <w:tc>
          <w:tcPr>
            <w:tcW w:w="0" w:type="dxa"/>
            <w:vAlign w:val="bottom"/>
          </w:tcPr>
          <w:p>
            <w:pPr>
              <w:spacing w:after="0"/>
              <w:rPr>
                <w:sz w:val="1"/>
                <w:szCs w:val="1"/>
                <w:color w:val="auto"/>
              </w:rPr>
            </w:pPr>
          </w:p>
        </w:tc>
      </w:tr>
      <w:tr>
        <w:trPr>
          <w:trHeight w:val="230"/>
        </w:trPr>
        <w:tc>
          <w:tcPr>
            <w:tcW w:w="7880" w:type="dxa"/>
            <w:vAlign w:val="bottom"/>
          </w:tcPr>
          <w:p>
            <w:pPr>
              <w:ind w:left="180"/>
              <w:spacing w:after="0"/>
              <w:rPr>
                <w:sz w:val="20"/>
                <w:szCs w:val="20"/>
                <w:color w:val="auto"/>
              </w:rPr>
            </w:pPr>
            <w:r>
              <w:rPr>
                <w:rFonts w:ascii="Arial" w:cs="Arial" w:eastAsia="Arial" w:hAnsi="Arial"/>
                <w:sz w:val="18"/>
                <w:szCs w:val="18"/>
                <w:color w:val="auto"/>
              </w:rPr>
              <w:t>Billings in excess of costs</w:t>
            </w: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9,629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8,879</w:t>
            </w:r>
          </w:p>
        </w:tc>
        <w:tc>
          <w:tcPr>
            <w:tcW w:w="0" w:type="dxa"/>
            <w:vAlign w:val="bottom"/>
          </w:tcPr>
          <w:p>
            <w:pPr>
              <w:spacing w:after="0"/>
              <w:rPr>
                <w:sz w:val="1"/>
                <w:szCs w:val="1"/>
                <w:color w:val="auto"/>
              </w:rPr>
            </w:pPr>
          </w:p>
        </w:tc>
      </w:tr>
      <w:tr>
        <w:trPr>
          <w:trHeight w:val="230"/>
        </w:trPr>
        <w:tc>
          <w:tcPr>
            <w:tcW w:w="7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Liabilities of discontinued operations</w:t>
            </w:r>
          </w:p>
        </w:tc>
        <w:tc>
          <w:tcPr>
            <w:tcW w:w="20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14,893</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93,120</w:t>
            </w:r>
          </w:p>
        </w:tc>
        <w:tc>
          <w:tcPr>
            <w:tcW w:w="0" w:type="dxa"/>
            <w:vAlign w:val="bottom"/>
          </w:tcPr>
          <w:p>
            <w:pPr>
              <w:spacing w:after="0"/>
              <w:rPr>
                <w:sz w:val="1"/>
                <w:szCs w:val="1"/>
                <w:color w:val="auto"/>
              </w:rPr>
            </w:pPr>
          </w:p>
        </w:tc>
      </w:tr>
      <w:tr>
        <w:trPr>
          <w:trHeight w:val="223"/>
        </w:trPr>
        <w:tc>
          <w:tcPr>
            <w:tcW w:w="7880" w:type="dxa"/>
            <w:vAlign w:val="bottom"/>
          </w:tcPr>
          <w:p>
            <w:pPr>
              <w:ind w:left="680"/>
              <w:spacing w:after="0"/>
              <w:rPr>
                <w:sz w:val="20"/>
                <w:szCs w:val="20"/>
                <w:color w:val="auto"/>
              </w:rPr>
            </w:pPr>
            <w:r>
              <w:rPr>
                <w:rFonts w:ascii="Arial" w:cs="Arial" w:eastAsia="Arial" w:hAnsi="Arial"/>
                <w:sz w:val="18"/>
                <w:szCs w:val="18"/>
                <w:color w:val="auto"/>
              </w:rPr>
              <w:t>Total current liabilities</w:t>
            </w: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359,590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366,022</w:t>
            </w:r>
          </w:p>
        </w:tc>
        <w:tc>
          <w:tcPr>
            <w:tcW w:w="0" w:type="dxa"/>
            <w:vAlign w:val="bottom"/>
          </w:tcPr>
          <w:p>
            <w:pPr>
              <w:spacing w:after="0"/>
              <w:rPr>
                <w:sz w:val="1"/>
                <w:szCs w:val="1"/>
                <w:color w:val="auto"/>
              </w:rPr>
            </w:pPr>
          </w:p>
        </w:tc>
      </w:tr>
      <w:tr>
        <w:trPr>
          <w:trHeight w:val="230"/>
        </w:trPr>
        <w:tc>
          <w:tcPr>
            <w:tcW w:w="7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debt</w:t>
            </w: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1,238,384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880" w:type="dxa"/>
            <w:vAlign w:val="bottom"/>
          </w:tcPr>
          <w:p>
            <w:pPr>
              <w:ind w:left="20"/>
              <w:spacing w:after="0"/>
              <w:rPr>
                <w:sz w:val="20"/>
                <w:szCs w:val="20"/>
                <w:color w:val="auto"/>
              </w:rPr>
            </w:pPr>
            <w:r>
              <w:rPr>
                <w:rFonts w:ascii="Arial" w:cs="Arial" w:eastAsia="Arial" w:hAnsi="Arial"/>
                <w:sz w:val="18"/>
                <w:szCs w:val="18"/>
                <w:color w:val="auto"/>
              </w:rPr>
              <w:t>Deferred income taxes</w:t>
            </w: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10,732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5,116</w:t>
            </w:r>
          </w:p>
        </w:tc>
        <w:tc>
          <w:tcPr>
            <w:tcW w:w="0" w:type="dxa"/>
            <w:vAlign w:val="bottom"/>
          </w:tcPr>
          <w:p>
            <w:pPr>
              <w:spacing w:after="0"/>
              <w:rPr>
                <w:sz w:val="1"/>
                <w:szCs w:val="1"/>
                <w:color w:val="auto"/>
              </w:rPr>
            </w:pPr>
          </w:p>
        </w:tc>
      </w:tr>
      <w:tr>
        <w:trPr>
          <w:trHeight w:val="230"/>
        </w:trPr>
        <w:tc>
          <w:tcPr>
            <w:tcW w:w="7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Non-current operating lease liabilities</w:t>
            </w: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147,100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46,199</w:t>
            </w:r>
          </w:p>
        </w:tc>
        <w:tc>
          <w:tcPr>
            <w:tcW w:w="0" w:type="dxa"/>
            <w:vAlign w:val="bottom"/>
          </w:tcPr>
          <w:p>
            <w:pPr>
              <w:spacing w:after="0"/>
              <w:rPr>
                <w:sz w:val="1"/>
                <w:szCs w:val="1"/>
                <w:color w:val="auto"/>
              </w:rPr>
            </w:pPr>
          </w:p>
        </w:tc>
      </w:tr>
      <w:tr>
        <w:trPr>
          <w:trHeight w:val="230"/>
        </w:trPr>
        <w:tc>
          <w:tcPr>
            <w:tcW w:w="7880" w:type="dxa"/>
            <w:vAlign w:val="bottom"/>
          </w:tcPr>
          <w:p>
            <w:pPr>
              <w:ind w:left="20"/>
              <w:spacing w:after="0"/>
              <w:rPr>
                <w:sz w:val="20"/>
                <w:szCs w:val="20"/>
                <w:color w:val="auto"/>
              </w:rPr>
            </w:pPr>
            <w:r>
              <w:rPr>
                <w:rFonts w:ascii="Arial" w:cs="Arial" w:eastAsia="Arial" w:hAnsi="Arial"/>
                <w:sz w:val="18"/>
                <w:szCs w:val="18"/>
                <w:color w:val="auto"/>
              </w:rPr>
              <w:t>Other non-current liabilities</w:t>
            </w: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25,028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25,868</w:t>
            </w:r>
          </w:p>
        </w:tc>
        <w:tc>
          <w:tcPr>
            <w:tcW w:w="0" w:type="dxa"/>
            <w:vAlign w:val="bottom"/>
          </w:tcPr>
          <w:p>
            <w:pPr>
              <w:spacing w:after="0"/>
              <w:rPr>
                <w:sz w:val="1"/>
                <w:szCs w:val="1"/>
                <w:color w:val="auto"/>
              </w:rPr>
            </w:pPr>
          </w:p>
        </w:tc>
      </w:tr>
      <w:tr>
        <w:trPr>
          <w:trHeight w:val="230"/>
        </w:trPr>
        <w:tc>
          <w:tcPr>
            <w:tcW w:w="7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Stockholders’ equity:</w:t>
            </w: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80" w:type="dxa"/>
            <w:vAlign w:val="bottom"/>
          </w:tcPr>
          <w:p>
            <w:pPr>
              <w:ind w:left="180"/>
              <w:spacing w:after="0"/>
              <w:rPr>
                <w:sz w:val="20"/>
                <w:szCs w:val="20"/>
                <w:color w:val="auto"/>
              </w:rPr>
            </w:pPr>
            <w:r>
              <w:rPr>
                <w:rFonts w:ascii="Arial" w:cs="Arial" w:eastAsia="Arial" w:hAnsi="Arial"/>
                <w:sz w:val="18"/>
                <w:szCs w:val="18"/>
                <w:color w:val="auto"/>
              </w:rPr>
              <w:t>Preferred stock, $0.01 par value; authorized 10,000 shares; none outstanding</w:t>
            </w:r>
          </w:p>
        </w:tc>
        <w:tc>
          <w:tcPr>
            <w:tcW w:w="200" w:type="dxa"/>
            <w:vAlign w:val="bottom"/>
          </w:tcPr>
          <w:p>
            <w:pPr>
              <w:spacing w:after="0"/>
              <w:rPr>
                <w:sz w:val="19"/>
                <w:szCs w:val="19"/>
                <w:color w:val="auto"/>
              </w:rPr>
            </w:pP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6"/>
        </w:trPr>
        <w:tc>
          <w:tcPr>
            <w:tcW w:w="788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rPr>
              <w:t>Common stock, $0.01 par value; authorized 100,000 shares; 34,729 and 34,482 shares issued</w:t>
            </w:r>
          </w:p>
        </w:tc>
        <w:tc>
          <w:tcPr>
            <w:tcW w:w="200" w:type="dxa"/>
            <w:vAlign w:val="bottom"/>
            <w:shd w:val="clear" w:color="auto" w:fill="CCEEFF"/>
          </w:tcPr>
          <w:p>
            <w:pPr>
              <w:spacing w:after="0"/>
              <w:rPr>
                <w:sz w:val="15"/>
                <w:szCs w:val="15"/>
                <w:color w:val="auto"/>
              </w:rPr>
            </w:pPr>
          </w:p>
        </w:tc>
        <w:tc>
          <w:tcPr>
            <w:tcW w:w="14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347</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345</w:t>
            </w:r>
          </w:p>
        </w:tc>
        <w:tc>
          <w:tcPr>
            <w:tcW w:w="0" w:type="dxa"/>
            <w:vAlign w:val="bottom"/>
          </w:tcPr>
          <w:p>
            <w:pPr>
              <w:spacing w:after="0"/>
              <w:rPr>
                <w:sz w:val="1"/>
                <w:szCs w:val="1"/>
                <w:color w:val="auto"/>
              </w:rPr>
            </w:pPr>
          </w:p>
        </w:tc>
      </w:tr>
      <w:tr>
        <w:trPr>
          <w:trHeight w:val="243"/>
        </w:trPr>
        <w:tc>
          <w:tcPr>
            <w:tcW w:w="7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and outstanding, respectively</w:t>
            </w:r>
          </w:p>
        </w:tc>
        <w:tc>
          <w:tcPr>
            <w:tcW w:w="200" w:type="dxa"/>
            <w:vAlign w:val="bottom"/>
            <w:shd w:val="clear" w:color="auto" w:fill="CCEEFF"/>
          </w:tcPr>
          <w:p>
            <w:pPr>
              <w:spacing w:after="0"/>
              <w:rPr>
                <w:sz w:val="21"/>
                <w:szCs w:val="21"/>
                <w:color w:val="auto"/>
              </w:rPr>
            </w:pPr>
          </w:p>
        </w:tc>
        <w:tc>
          <w:tcPr>
            <w:tcW w:w="146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8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7880" w:type="dxa"/>
            <w:vAlign w:val="bottom"/>
          </w:tcPr>
          <w:p>
            <w:pPr>
              <w:ind w:left="180"/>
              <w:spacing w:after="0"/>
              <w:rPr>
                <w:sz w:val="20"/>
                <w:szCs w:val="20"/>
                <w:color w:val="auto"/>
              </w:rPr>
            </w:pPr>
            <w:r>
              <w:rPr>
                <w:rFonts w:ascii="Arial" w:cs="Arial" w:eastAsia="Arial" w:hAnsi="Arial"/>
                <w:sz w:val="18"/>
                <w:szCs w:val="18"/>
                <w:color w:val="auto"/>
              </w:rPr>
              <w:t>Additional paid-in capital</w:t>
            </w: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360,253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353,018</w:t>
            </w:r>
          </w:p>
        </w:tc>
        <w:tc>
          <w:tcPr>
            <w:tcW w:w="0" w:type="dxa"/>
            <w:vAlign w:val="bottom"/>
          </w:tcPr>
          <w:p>
            <w:pPr>
              <w:spacing w:after="0"/>
              <w:rPr>
                <w:sz w:val="1"/>
                <w:szCs w:val="1"/>
                <w:color w:val="auto"/>
              </w:rPr>
            </w:pPr>
          </w:p>
        </w:tc>
      </w:tr>
      <w:tr>
        <w:trPr>
          <w:trHeight w:val="229"/>
        </w:trPr>
        <w:tc>
          <w:tcPr>
            <w:tcW w:w="7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Retained earnings</w:t>
            </w: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783,895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831,463</w:t>
            </w:r>
          </w:p>
        </w:tc>
        <w:tc>
          <w:tcPr>
            <w:tcW w:w="0" w:type="dxa"/>
            <w:vAlign w:val="bottom"/>
          </w:tcPr>
          <w:p>
            <w:pPr>
              <w:spacing w:after="0"/>
              <w:rPr>
                <w:sz w:val="1"/>
                <w:szCs w:val="1"/>
                <w:color w:val="auto"/>
              </w:rPr>
            </w:pPr>
          </w:p>
        </w:tc>
      </w:tr>
      <w:tr>
        <w:trPr>
          <w:trHeight w:val="230"/>
        </w:trPr>
        <w:tc>
          <w:tcPr>
            <w:tcW w:w="7880" w:type="dxa"/>
            <w:vAlign w:val="bottom"/>
          </w:tcPr>
          <w:p>
            <w:pPr>
              <w:ind w:left="180"/>
              <w:spacing w:after="0"/>
              <w:rPr>
                <w:sz w:val="20"/>
                <w:szCs w:val="20"/>
                <w:color w:val="auto"/>
              </w:rPr>
            </w:pPr>
            <w:r>
              <w:rPr>
                <w:rFonts w:ascii="Arial" w:cs="Arial" w:eastAsia="Arial" w:hAnsi="Arial"/>
                <w:sz w:val="18"/>
                <w:szCs w:val="18"/>
                <w:color w:val="auto"/>
              </w:rPr>
              <w:t>Accumulated other comprehensive loss</w:t>
            </w: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(6,277)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(3,683)</w:t>
            </w:r>
          </w:p>
        </w:tc>
        <w:tc>
          <w:tcPr>
            <w:tcW w:w="0" w:type="dxa"/>
            <w:vAlign w:val="bottom"/>
          </w:tcPr>
          <w:p>
            <w:pPr>
              <w:spacing w:after="0"/>
              <w:rPr>
                <w:sz w:val="1"/>
                <w:szCs w:val="1"/>
                <w:color w:val="auto"/>
              </w:rPr>
            </w:pPr>
          </w:p>
        </w:tc>
      </w:tr>
      <w:tr>
        <w:trPr>
          <w:trHeight w:val="230"/>
        </w:trPr>
        <w:tc>
          <w:tcPr>
            <w:tcW w:w="7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Treasury stock, at cost; 5,025 and 4,935 shares, respectively</w:t>
            </w:r>
          </w:p>
        </w:tc>
        <w:tc>
          <w:tcPr>
            <w:tcW w:w="20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(234,662)</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(230,745)</w:t>
            </w:r>
          </w:p>
        </w:tc>
        <w:tc>
          <w:tcPr>
            <w:tcW w:w="0" w:type="dxa"/>
            <w:vAlign w:val="bottom"/>
          </w:tcPr>
          <w:p>
            <w:pPr>
              <w:spacing w:after="0"/>
              <w:rPr>
                <w:sz w:val="1"/>
                <w:szCs w:val="1"/>
                <w:color w:val="auto"/>
              </w:rPr>
            </w:pPr>
          </w:p>
        </w:tc>
      </w:tr>
      <w:tr>
        <w:trPr>
          <w:trHeight w:val="223"/>
        </w:trPr>
        <w:tc>
          <w:tcPr>
            <w:tcW w:w="788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Total stockholders’ equity</w:t>
            </w:r>
          </w:p>
        </w:tc>
        <w:tc>
          <w:tcPr>
            <w:tcW w:w="2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903,556</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950,398</w:t>
            </w:r>
          </w:p>
        </w:tc>
        <w:tc>
          <w:tcPr>
            <w:tcW w:w="0" w:type="dxa"/>
            <w:vAlign w:val="bottom"/>
          </w:tcPr>
          <w:p>
            <w:pPr>
              <w:spacing w:after="0"/>
              <w:rPr>
                <w:sz w:val="1"/>
                <w:szCs w:val="1"/>
                <w:color w:val="auto"/>
              </w:rPr>
            </w:pPr>
          </w:p>
        </w:tc>
      </w:tr>
      <w:tr>
        <w:trPr>
          <w:trHeight w:val="248"/>
        </w:trPr>
        <w:tc>
          <w:tcPr>
            <w:tcW w:w="78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2,684,390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1,393,603</w:t>
            </w:r>
          </w:p>
        </w:tc>
        <w:tc>
          <w:tcPr>
            <w:tcW w:w="0" w:type="dxa"/>
            <w:vAlign w:val="bottom"/>
          </w:tcPr>
          <w:p>
            <w:pPr>
              <w:spacing w:after="0"/>
              <w:rPr>
                <w:sz w:val="1"/>
                <w:szCs w:val="1"/>
                <w:color w:val="auto"/>
              </w:rPr>
            </w:pPr>
          </w:p>
        </w:tc>
      </w:tr>
      <w:tr>
        <w:trPr>
          <w:trHeight w:val="20"/>
        </w:trPr>
        <w:tc>
          <w:tcPr>
            <w:tcW w:w="78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240"/>
          </w:cols>
          <w:pgMar w:left="320" w:top="1093" w:right="339" w:bottom="1440" w:gutter="0" w:footer="0" w:header="0"/>
        </w:sectPr>
      </w:pPr>
    </w:p>
    <w:bookmarkStart w:id="11" w:name="page12"/>
    <w:bookmarkEnd w:id="11"/>
    <w:p>
      <w:pPr>
        <w:jc w:val="cente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5205730</wp:posOffset>
            </wp:positionH>
            <wp:positionV relativeFrom="page">
              <wp:posOffset>243205</wp:posOffset>
            </wp:positionV>
            <wp:extent cx="2134235" cy="2743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2134235" cy="274320"/>
                    </a:xfrm>
                    <a:prstGeom prst="rect">
                      <a:avLst/>
                    </a:prstGeom>
                    <a:noFill/>
                  </pic:spPr>
                </pic:pic>
              </a:graphicData>
            </a:graphic>
          </wp:anchor>
        </w:drawing>
        <w:t>GIBRALTAR INDUSTRIES,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CONSOLIDATED STATEMENTS OF CASH FLOWS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(in thousands)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(unaudited)</w:t>
      </w:r>
    </w:p>
    <w:p>
      <w:pPr>
        <w:spacing w:after="0" w:line="122" w:lineRule="exact"/>
        <w:rPr>
          <w:sz w:val="20"/>
          <w:szCs w:val="20"/>
          <w:color w:val="auto"/>
        </w:rPr>
      </w:pPr>
    </w:p>
    <w:p>
      <w:pPr>
        <w:jc w:val="center"/>
        <w:ind w:left="8480"/>
        <w:spacing w:after="0"/>
        <w:rPr>
          <w:sz w:val="20"/>
          <w:szCs w:val="20"/>
          <w:color w:val="auto"/>
        </w:rPr>
      </w:pPr>
      <w:r>
        <w:rPr>
          <w:rFonts w:ascii="Arial" w:cs="Arial" w:eastAsia="Arial" w:hAnsi="Arial"/>
          <w:sz w:val="16"/>
          <w:szCs w:val="16"/>
          <w:color w:val="auto"/>
        </w:rPr>
        <w:t>Nine Months Ended</w:t>
      </w:r>
    </w:p>
    <w:p>
      <w:pPr>
        <w:jc w:val="center"/>
        <w:ind w:left="8480"/>
        <w:spacing w:after="0"/>
        <w:rPr>
          <w:sz w:val="20"/>
          <w:szCs w:val="20"/>
          <w:color w:val="auto"/>
        </w:rPr>
      </w:pPr>
      <w:r>
        <w:rPr>
          <w:rFonts w:ascii="Arial" w:cs="Arial" w:eastAsia="Arial" w:hAnsi="Arial"/>
          <w:sz w:val="16"/>
          <w:szCs w:val="16"/>
          <w:color w:val="auto"/>
        </w:rPr>
        <w:t>September 30,</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5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70"/>
              <w:spacing w:after="0"/>
              <w:rPr>
                <w:sz w:val="20"/>
                <w:szCs w:val="20"/>
                <w:color w:val="auto"/>
              </w:rPr>
            </w:pPr>
            <w:r>
              <w:rPr>
                <w:rFonts w:ascii="Arial" w:cs="Arial" w:eastAsia="Arial" w:hAnsi="Arial"/>
                <w:sz w:val="16"/>
                <w:szCs w:val="16"/>
                <w:color w:val="auto"/>
              </w:rPr>
              <w:t>2026</w:t>
            </w:r>
          </w:p>
        </w:tc>
        <w:tc>
          <w:tcPr>
            <w:tcW w:w="1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6"/>
                <w:szCs w:val="16"/>
                <w:color w:val="auto"/>
              </w:rPr>
              <w:t>2025</w:t>
            </w:r>
          </w:p>
        </w:tc>
      </w:tr>
      <w:tr>
        <w:trPr>
          <w:trHeight w:val="211"/>
        </w:trPr>
        <w:tc>
          <w:tcPr>
            <w:tcW w:w="85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29"/>
        </w:trPr>
        <w:tc>
          <w:tcPr>
            <w:tcW w:w="8500" w:type="dxa"/>
            <w:vAlign w:val="bottom"/>
          </w:tcPr>
          <w:p>
            <w:pPr>
              <w:ind w:left="20"/>
              <w:spacing w:after="0"/>
              <w:rPr>
                <w:sz w:val="20"/>
                <w:szCs w:val="20"/>
                <w:color w:val="auto"/>
              </w:rPr>
            </w:pPr>
            <w:r>
              <w:rPr>
                <w:rFonts w:ascii="Arial" w:cs="Arial" w:eastAsia="Arial" w:hAnsi="Arial"/>
                <w:sz w:val="18"/>
                <w:szCs w:val="18"/>
                <w:color w:val="auto"/>
              </w:rPr>
              <w:t>Net loss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(47,568)</w:t>
            </w:r>
          </w:p>
        </w:tc>
        <w:tc>
          <w:tcPr>
            <w:tcW w:w="14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(41,939)</w:t>
            </w:r>
          </w:p>
        </w:tc>
      </w:tr>
      <w:tr>
        <w:trPr>
          <w:trHeight w:val="229"/>
        </w:trPr>
        <w:tc>
          <w:tcPr>
            <w:tcW w:w="8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from discontinued operations</w:t>
            </w:r>
          </w:p>
        </w:tc>
        <w:tc>
          <w:tcPr>
            <w:tcW w:w="2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(83,475)</w:t>
            </w:r>
          </w:p>
        </w:tc>
        <w:tc>
          <w:tcPr>
            <w:tcW w:w="1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(127,697)</w:t>
            </w:r>
          </w:p>
        </w:tc>
      </w:tr>
      <w:tr>
        <w:trPr>
          <w:trHeight w:val="223"/>
        </w:trPr>
        <w:tc>
          <w:tcPr>
            <w:tcW w:w="8500" w:type="dxa"/>
            <w:vAlign w:val="bottom"/>
          </w:tcPr>
          <w:p>
            <w:pPr>
              <w:ind w:left="20"/>
              <w:spacing w:after="0"/>
              <w:rPr>
                <w:sz w:val="20"/>
                <w:szCs w:val="20"/>
                <w:color w:val="auto"/>
              </w:rPr>
            </w:pPr>
            <w:r>
              <w:rPr>
                <w:rFonts w:ascii="Arial" w:cs="Arial" w:eastAsia="Arial" w:hAnsi="Arial"/>
                <w:sz w:val="18"/>
                <w:szCs w:val="18"/>
                <w:color w:val="auto"/>
              </w:rPr>
              <w:t>Income from continuing operations</w:t>
            </w: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35,907</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85,758</w:t>
            </w:r>
          </w:p>
        </w:tc>
      </w:tr>
      <w:tr>
        <w:trPr>
          <w:trHeight w:val="184"/>
        </w:trPr>
        <w:tc>
          <w:tcPr>
            <w:tcW w:w="8500" w:type="dxa"/>
            <w:vAlign w:val="bottom"/>
            <w:shd w:val="clear" w:color="auto" w:fill="CCEEFF"/>
          </w:tcPr>
          <w:p>
            <w:pPr>
              <w:ind w:left="20"/>
              <w:spacing w:after="0" w:line="183" w:lineRule="exact"/>
              <w:rPr>
                <w:sz w:val="20"/>
                <w:szCs w:val="20"/>
                <w:color w:val="auto"/>
              </w:rPr>
            </w:pPr>
            <w:r>
              <w:rPr>
                <w:rFonts w:ascii="Arial" w:cs="Arial" w:eastAsia="Arial" w:hAnsi="Arial"/>
                <w:sz w:val="18"/>
                <w:szCs w:val="18"/>
                <w:color w:val="auto"/>
              </w:rPr>
              <w:t>Adjustments to reconcile income from continuing operations to net cash (used in) provided by operating</w:t>
            </w:r>
          </w:p>
        </w:tc>
        <w:tc>
          <w:tcPr>
            <w:tcW w:w="2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r>
      <w:tr>
        <w:trPr>
          <w:trHeight w:val="235"/>
        </w:trPr>
        <w:tc>
          <w:tcPr>
            <w:tcW w:w="8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activities:</w:t>
            </w:r>
          </w:p>
        </w:tc>
        <w:tc>
          <w:tcPr>
            <w:tcW w:w="24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r>
      <w:tr>
        <w:trPr>
          <w:trHeight w:val="229"/>
        </w:trPr>
        <w:tc>
          <w:tcPr>
            <w:tcW w:w="8500" w:type="dxa"/>
            <w:vAlign w:val="bottom"/>
          </w:tcPr>
          <w:p>
            <w:pPr>
              <w:ind w:left="480"/>
              <w:spacing w:after="0"/>
              <w:rPr>
                <w:sz w:val="20"/>
                <w:szCs w:val="20"/>
                <w:color w:val="auto"/>
              </w:rPr>
            </w:pPr>
            <w:r>
              <w:rPr>
                <w:rFonts w:ascii="Arial" w:cs="Arial" w:eastAsia="Arial" w:hAnsi="Arial"/>
                <w:sz w:val="18"/>
                <w:szCs w:val="18"/>
                <w:color w:val="auto"/>
              </w:rPr>
              <w:t>Depreciation and amortization</w:t>
            </w: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55,607</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23,101</w:t>
            </w:r>
          </w:p>
        </w:tc>
      </w:tr>
      <w:tr>
        <w:trPr>
          <w:trHeight w:val="230"/>
        </w:trPr>
        <w:tc>
          <w:tcPr>
            <w:tcW w:w="85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Stock compensation expense</w:t>
            </w: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7,035</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7,465</w:t>
            </w:r>
          </w:p>
        </w:tc>
      </w:tr>
      <w:tr>
        <w:trPr>
          <w:trHeight w:val="229"/>
        </w:trPr>
        <w:tc>
          <w:tcPr>
            <w:tcW w:w="8500" w:type="dxa"/>
            <w:vAlign w:val="bottom"/>
          </w:tcPr>
          <w:p>
            <w:pPr>
              <w:ind w:left="480"/>
              <w:spacing w:after="0"/>
              <w:rPr>
                <w:sz w:val="20"/>
                <w:szCs w:val="20"/>
                <w:color w:val="auto"/>
              </w:rPr>
            </w:pPr>
            <w:r>
              <w:rPr>
                <w:rFonts w:ascii="Arial" w:cs="Arial" w:eastAsia="Arial" w:hAnsi="Arial"/>
                <w:sz w:val="18"/>
                <w:szCs w:val="18"/>
                <w:color w:val="auto"/>
              </w:rPr>
              <w:t>Provision for deferred income taxes</w:t>
            </w: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921</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30"/>
        </w:trPr>
        <w:tc>
          <w:tcPr>
            <w:tcW w:w="85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Other, net</w:t>
            </w: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3,250</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1,154</w:t>
            </w:r>
          </w:p>
        </w:tc>
      </w:tr>
      <w:tr>
        <w:trPr>
          <w:trHeight w:val="229"/>
        </w:trPr>
        <w:tc>
          <w:tcPr>
            <w:tcW w:w="8500" w:type="dxa"/>
            <w:vAlign w:val="bottom"/>
          </w:tcPr>
          <w:p>
            <w:pPr>
              <w:ind w:left="20"/>
              <w:spacing w:after="0"/>
              <w:rPr>
                <w:sz w:val="20"/>
                <w:szCs w:val="20"/>
                <w:color w:val="auto"/>
              </w:rPr>
            </w:pPr>
            <w:r>
              <w:rPr>
                <w:rFonts w:ascii="Arial" w:cs="Arial" w:eastAsia="Arial" w:hAnsi="Arial"/>
                <w:sz w:val="18"/>
                <w:szCs w:val="18"/>
                <w:color w:val="auto"/>
              </w:rPr>
              <w:t>Changes in operating assets and liabilities net of effects from acquisitions:</w:t>
            </w:r>
          </w:p>
        </w:tc>
        <w:tc>
          <w:tcPr>
            <w:tcW w:w="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29"/>
        </w:trPr>
        <w:tc>
          <w:tcPr>
            <w:tcW w:w="85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Trade receivables and costs in excess of billings</w:t>
            </w: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(46,986)</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(28,705)</w:t>
            </w:r>
          </w:p>
        </w:tc>
      </w:tr>
      <w:tr>
        <w:trPr>
          <w:trHeight w:val="230"/>
        </w:trPr>
        <w:tc>
          <w:tcPr>
            <w:tcW w:w="8500" w:type="dxa"/>
            <w:vAlign w:val="bottom"/>
          </w:tcPr>
          <w:p>
            <w:pPr>
              <w:ind w:left="480"/>
              <w:spacing w:after="0"/>
              <w:rPr>
                <w:sz w:val="20"/>
                <w:szCs w:val="20"/>
                <w:color w:val="auto"/>
              </w:rPr>
            </w:pPr>
            <w:r>
              <w:rPr>
                <w:rFonts w:ascii="Arial" w:cs="Arial" w:eastAsia="Arial" w:hAnsi="Arial"/>
                <w:sz w:val="18"/>
                <w:szCs w:val="18"/>
                <w:color w:val="auto"/>
              </w:rPr>
              <w:t>Inventories</w:t>
            </w: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(32,556)</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(7,907)</w:t>
            </w:r>
          </w:p>
        </w:tc>
      </w:tr>
      <w:tr>
        <w:trPr>
          <w:trHeight w:val="229"/>
        </w:trPr>
        <w:tc>
          <w:tcPr>
            <w:tcW w:w="85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Other current assets and other assets</w:t>
            </w: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(4,408)</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4,979</w:t>
            </w:r>
          </w:p>
        </w:tc>
      </w:tr>
      <w:tr>
        <w:trPr>
          <w:trHeight w:val="229"/>
        </w:trPr>
        <w:tc>
          <w:tcPr>
            <w:tcW w:w="8500" w:type="dxa"/>
            <w:vAlign w:val="bottom"/>
          </w:tcPr>
          <w:p>
            <w:pPr>
              <w:ind w:left="480"/>
              <w:spacing w:after="0"/>
              <w:rPr>
                <w:sz w:val="20"/>
                <w:szCs w:val="20"/>
                <w:color w:val="auto"/>
              </w:rPr>
            </w:pPr>
            <w:r>
              <w:rPr>
                <w:rFonts w:ascii="Arial" w:cs="Arial" w:eastAsia="Arial" w:hAnsi="Arial"/>
                <w:sz w:val="18"/>
                <w:szCs w:val="18"/>
                <w:color w:val="auto"/>
              </w:rPr>
              <w:t>Accounts payable</w:t>
            </w: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71,615</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25,971</w:t>
            </w:r>
          </w:p>
        </w:tc>
      </w:tr>
      <w:tr>
        <w:trPr>
          <w:trHeight w:val="230"/>
        </w:trPr>
        <w:tc>
          <w:tcPr>
            <w:tcW w:w="85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Accrued expenses and other non-current liabilities</w:t>
            </w:r>
          </w:p>
        </w:tc>
        <w:tc>
          <w:tcPr>
            <w:tcW w:w="2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(71,019)</w:t>
            </w:r>
          </w:p>
        </w:tc>
        <w:tc>
          <w:tcPr>
            <w:tcW w:w="1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(6,443)</w:t>
            </w:r>
          </w:p>
        </w:tc>
      </w:tr>
      <w:tr>
        <w:trPr>
          <w:trHeight w:val="223"/>
        </w:trPr>
        <w:tc>
          <w:tcPr>
            <w:tcW w:w="8500" w:type="dxa"/>
            <w:vAlign w:val="bottom"/>
          </w:tcPr>
          <w:p>
            <w:pPr>
              <w:ind w:left="20"/>
              <w:spacing w:after="0"/>
              <w:rPr>
                <w:sz w:val="20"/>
                <w:szCs w:val="20"/>
                <w:color w:val="auto"/>
              </w:rPr>
            </w:pPr>
            <w:r>
              <w:rPr>
                <w:rFonts w:ascii="Arial" w:cs="Arial" w:eastAsia="Arial" w:hAnsi="Arial"/>
                <w:sz w:val="18"/>
                <w:szCs w:val="18"/>
                <w:color w:val="auto"/>
              </w:rPr>
              <w:t>Net cash provided by operating activities of continuing operations</w:t>
            </w: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19,366</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105,380</w:t>
            </w:r>
          </w:p>
        </w:tc>
      </w:tr>
      <w:tr>
        <w:trPr>
          <w:trHeight w:val="230"/>
        </w:trPr>
        <w:tc>
          <w:tcPr>
            <w:tcW w:w="8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in) provided by operating activities of discontinued operations</w:t>
            </w:r>
          </w:p>
        </w:tc>
        <w:tc>
          <w:tcPr>
            <w:tcW w:w="2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(55,556)</w:t>
            </w:r>
          </w:p>
        </w:tc>
        <w:tc>
          <w:tcPr>
            <w:tcW w:w="1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26,168</w:t>
            </w:r>
          </w:p>
        </w:tc>
      </w:tr>
      <w:tr>
        <w:trPr>
          <w:trHeight w:val="223"/>
        </w:trPr>
        <w:tc>
          <w:tcPr>
            <w:tcW w:w="85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cash (used in) provided by operating activities</w:t>
            </w: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(36,190)</w:t>
            </w:r>
          </w:p>
        </w:tc>
        <w:tc>
          <w:tcPr>
            <w:tcW w:w="1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131,548</w:t>
            </w:r>
          </w:p>
        </w:tc>
      </w:tr>
      <w:tr>
        <w:trPr>
          <w:trHeight w:val="209"/>
        </w:trPr>
        <w:tc>
          <w:tcPr>
            <w:tcW w:w="85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30"/>
        </w:trPr>
        <w:tc>
          <w:tcPr>
            <w:tcW w:w="8500" w:type="dxa"/>
            <w:vAlign w:val="bottom"/>
          </w:tcPr>
          <w:p>
            <w:pPr>
              <w:ind w:left="20"/>
              <w:spacing w:after="0"/>
              <w:rPr>
                <w:sz w:val="20"/>
                <w:szCs w:val="20"/>
                <w:color w:val="auto"/>
              </w:rPr>
            </w:pPr>
            <w:r>
              <w:rPr>
                <w:rFonts w:ascii="Arial" w:cs="Arial" w:eastAsia="Arial" w:hAnsi="Arial"/>
                <w:sz w:val="18"/>
                <w:szCs w:val="18"/>
                <w:color w:val="auto"/>
              </w:rPr>
              <w:t>Acquisitions, net of cash acquired</w:t>
            </w: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(1,339,581)</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(210,455)</w:t>
            </w:r>
          </w:p>
        </w:tc>
      </w:tr>
      <w:tr>
        <w:trPr>
          <w:trHeight w:val="230"/>
        </w:trPr>
        <w:tc>
          <w:tcPr>
            <w:tcW w:w="8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proceeds from sale of property and equipment</w:t>
            </w: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2,936</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w:t>
            </w:r>
          </w:p>
        </w:tc>
      </w:tr>
      <w:tr>
        <w:trPr>
          <w:trHeight w:val="230"/>
        </w:trPr>
        <w:tc>
          <w:tcPr>
            <w:tcW w:w="8500" w:type="dxa"/>
            <w:vAlign w:val="bottom"/>
          </w:tcPr>
          <w:p>
            <w:pPr>
              <w:ind w:left="20"/>
              <w:spacing w:after="0"/>
              <w:rPr>
                <w:sz w:val="20"/>
                <w:szCs w:val="20"/>
                <w:color w:val="auto"/>
              </w:rPr>
            </w:pPr>
            <w:r>
              <w:rPr>
                <w:rFonts w:ascii="Arial" w:cs="Arial" w:eastAsia="Arial" w:hAnsi="Arial"/>
                <w:sz w:val="18"/>
                <w:szCs w:val="18"/>
                <w:color w:val="auto"/>
              </w:rPr>
              <w:t>Purchases of property, plant, and equipment</w:t>
            </w: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(15,539)</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(37,428)</w:t>
            </w:r>
          </w:p>
        </w:tc>
      </w:tr>
      <w:tr>
        <w:trPr>
          <w:trHeight w:val="230"/>
        </w:trPr>
        <w:tc>
          <w:tcPr>
            <w:tcW w:w="8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proceeds from sale of business</w:t>
            </w:r>
          </w:p>
        </w:tc>
        <w:tc>
          <w:tcPr>
            <w:tcW w:w="2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w:t>
            </w:r>
          </w:p>
        </w:tc>
      </w:tr>
      <w:tr>
        <w:trPr>
          <w:trHeight w:val="223"/>
        </w:trPr>
        <w:tc>
          <w:tcPr>
            <w:tcW w:w="8500" w:type="dxa"/>
            <w:vAlign w:val="bottom"/>
          </w:tcPr>
          <w:p>
            <w:pPr>
              <w:ind w:left="20"/>
              <w:spacing w:after="0"/>
              <w:rPr>
                <w:sz w:val="20"/>
                <w:szCs w:val="20"/>
                <w:color w:val="auto"/>
              </w:rPr>
            </w:pPr>
            <w:r>
              <w:rPr>
                <w:rFonts w:ascii="Arial" w:cs="Arial" w:eastAsia="Arial" w:hAnsi="Arial"/>
                <w:sz w:val="18"/>
                <w:szCs w:val="18"/>
                <w:color w:val="auto"/>
              </w:rPr>
              <w:t>Net cash used in investing activities of continuing operations</w:t>
            </w:r>
          </w:p>
        </w:tc>
        <w:tc>
          <w:tcPr>
            <w:tcW w:w="24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(1,352,184)</w:t>
            </w:r>
          </w:p>
        </w:tc>
        <w:tc>
          <w:tcPr>
            <w:tcW w:w="14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(247,279)</w:t>
            </w:r>
          </w:p>
        </w:tc>
      </w:tr>
      <w:tr>
        <w:trPr>
          <w:trHeight w:val="229"/>
        </w:trPr>
        <w:tc>
          <w:tcPr>
            <w:tcW w:w="8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(used in) investing activities of discontinued operations</w:t>
            </w:r>
          </w:p>
        </w:tc>
        <w:tc>
          <w:tcPr>
            <w:tcW w:w="2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76,549</w:t>
            </w:r>
          </w:p>
        </w:tc>
        <w:tc>
          <w:tcPr>
            <w:tcW w:w="1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(1,015)</w:t>
            </w:r>
          </w:p>
        </w:tc>
      </w:tr>
      <w:tr>
        <w:trPr>
          <w:trHeight w:val="223"/>
        </w:trPr>
        <w:tc>
          <w:tcPr>
            <w:tcW w:w="85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cash used in investing activities</w:t>
            </w: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(1,275,635)</w:t>
            </w:r>
          </w:p>
        </w:tc>
        <w:tc>
          <w:tcPr>
            <w:tcW w:w="1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(248,294)</w:t>
            </w:r>
          </w:p>
        </w:tc>
      </w:tr>
      <w:tr>
        <w:trPr>
          <w:trHeight w:val="209"/>
        </w:trPr>
        <w:tc>
          <w:tcPr>
            <w:tcW w:w="85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30"/>
        </w:trPr>
        <w:tc>
          <w:tcPr>
            <w:tcW w:w="8500" w:type="dxa"/>
            <w:vAlign w:val="bottom"/>
          </w:tcPr>
          <w:p>
            <w:pPr>
              <w:ind w:left="20"/>
              <w:spacing w:after="0"/>
              <w:rPr>
                <w:sz w:val="20"/>
                <w:szCs w:val="20"/>
                <w:color w:val="auto"/>
              </w:rPr>
            </w:pPr>
            <w:r>
              <w:rPr>
                <w:rFonts w:ascii="Arial" w:cs="Arial" w:eastAsia="Arial" w:hAnsi="Arial"/>
                <w:sz w:val="18"/>
                <w:szCs w:val="18"/>
                <w:color w:val="auto"/>
              </w:rPr>
              <w:t>Proceeds from long-term debt</w:t>
            </w: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1,340,000</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debt payments</w:t>
            </w: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500" w:type="dxa"/>
            <w:vAlign w:val="bottom"/>
          </w:tcPr>
          <w:p>
            <w:pPr>
              <w:ind w:left="20"/>
              <w:spacing w:after="0"/>
              <w:rPr>
                <w:sz w:val="20"/>
                <w:szCs w:val="20"/>
                <w:color w:val="auto"/>
              </w:rPr>
            </w:pPr>
            <w:r>
              <w:rPr>
                <w:rFonts w:ascii="Arial" w:cs="Arial" w:eastAsia="Arial" w:hAnsi="Arial"/>
                <w:sz w:val="18"/>
                <w:szCs w:val="18"/>
                <w:color w:val="auto"/>
              </w:rPr>
              <w:t>Payment of debt issuance costs</w:t>
            </w: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(29,311)</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Purchase of common stock at market prices</w:t>
            </w: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(4,399)</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(63,740)</w:t>
            </w:r>
          </w:p>
        </w:tc>
      </w:tr>
      <w:tr>
        <w:trPr>
          <w:trHeight w:val="230"/>
        </w:trPr>
        <w:tc>
          <w:tcPr>
            <w:tcW w:w="8500" w:type="dxa"/>
            <w:vAlign w:val="bottom"/>
          </w:tcPr>
          <w:p>
            <w:pPr>
              <w:ind w:left="20"/>
              <w:spacing w:after="0"/>
              <w:rPr>
                <w:sz w:val="20"/>
                <w:szCs w:val="20"/>
                <w:color w:val="auto"/>
              </w:rPr>
            </w:pPr>
            <w:r>
              <w:rPr>
                <w:rFonts w:ascii="Arial" w:cs="Arial" w:eastAsia="Arial" w:hAnsi="Arial"/>
                <w:sz w:val="18"/>
                <w:szCs w:val="18"/>
                <w:color w:val="auto"/>
              </w:rPr>
              <w:t>Net proceeds from issuance of common stock</w:t>
            </w:r>
          </w:p>
        </w:tc>
        <w:tc>
          <w:tcPr>
            <w:tcW w:w="240" w:type="dxa"/>
            <w:vAlign w:val="bottom"/>
          </w:tcPr>
          <w:p>
            <w:pPr>
              <w:spacing w:after="0"/>
              <w:rPr>
                <w:sz w:val="19"/>
                <w:szCs w:val="19"/>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198</w:t>
            </w:r>
          </w:p>
        </w:tc>
      </w:tr>
      <w:tr>
        <w:trPr>
          <w:trHeight w:val="223"/>
        </w:trPr>
        <w:tc>
          <w:tcPr>
            <w:tcW w:w="85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provided by (used in) financing activities</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1,231,290</w:t>
            </w:r>
          </w:p>
        </w:tc>
        <w:tc>
          <w:tcPr>
            <w:tcW w:w="14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(63,542)</w:t>
            </w:r>
          </w:p>
        </w:tc>
      </w:tr>
      <w:tr>
        <w:trPr>
          <w:trHeight w:val="223"/>
        </w:trPr>
        <w:tc>
          <w:tcPr>
            <w:tcW w:w="85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Effect of exchange rate changes on cash</w:t>
            </w: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w:t>
            </w:r>
          </w:p>
        </w:tc>
      </w:tr>
      <w:tr>
        <w:trPr>
          <w:trHeight w:val="223"/>
        </w:trPr>
        <w:tc>
          <w:tcPr>
            <w:tcW w:w="8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decrease in cash and cash equivalents</w:t>
            </w: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(80,536)</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(180,077)</w:t>
            </w:r>
          </w:p>
        </w:tc>
      </w:tr>
      <w:tr>
        <w:trPr>
          <w:trHeight w:val="229"/>
        </w:trPr>
        <w:tc>
          <w:tcPr>
            <w:tcW w:w="85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Cash and cash equivalents at beginning of year</w:t>
            </w: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115,724</w:t>
            </w:r>
          </w:p>
        </w:tc>
        <w:tc>
          <w:tcPr>
            <w:tcW w:w="1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269,480</w:t>
            </w:r>
          </w:p>
        </w:tc>
      </w:tr>
      <w:tr>
        <w:trPr>
          <w:trHeight w:val="248"/>
        </w:trPr>
        <w:tc>
          <w:tcPr>
            <w:tcW w:w="85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Cash and cash equivalents at end of period</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35,188</w:t>
            </w:r>
          </w:p>
        </w:tc>
        <w:tc>
          <w:tcPr>
            <w:tcW w:w="1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89,403</w:t>
            </w:r>
          </w:p>
        </w:tc>
      </w:tr>
      <w:tr>
        <w:trPr>
          <w:trHeight w:val="20"/>
        </w:trPr>
        <w:tc>
          <w:tcPr>
            <w:tcW w:w="85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ectPr>
          <w:pgSz w:w="11900" w:h="16838" w:orient="portrait"/>
          <w:cols w:equalWidth="0" w:num="1">
            <w:col w:w="11240"/>
          </w:cols>
          <w:pgMar w:left="320" w:top="1089" w:right="3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5205730</wp:posOffset>
            </wp:positionH>
            <wp:positionV relativeFrom="page">
              <wp:posOffset>243205</wp:posOffset>
            </wp:positionV>
            <wp:extent cx="2134235" cy="2743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2134235" cy="274320"/>
                    </a:xfrm>
                    <a:prstGeom prst="rect">
                      <a:avLst/>
                    </a:prstGeom>
                    <a:noFill/>
                  </pic:spPr>
                </pic:pic>
              </a:graphicData>
            </a:graphic>
          </wp:anchor>
        </w:drawing>
        <w:t>GIBRALTAR INDUSTRIES,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Reconciliation of GAAP and Adjusted Financial Measures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Three Months Ended September 30, 2026</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4"/>
                <w:szCs w:val="14"/>
                <w:color w:val="auto"/>
              </w:rPr>
              <w:t>Net income from</w:t>
            </w: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3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0" w:type="dxa"/>
            <w:vAlign w:val="bottom"/>
            <w:gridSpan w:val="3"/>
            <w:vMerge w:val="restart"/>
          </w:tcPr>
          <w:p>
            <w:pPr>
              <w:jc w:val="center"/>
              <w:ind w:right="100"/>
              <w:spacing w:after="0"/>
              <w:rPr>
                <w:sz w:val="20"/>
                <w:szCs w:val="20"/>
                <w:color w:val="auto"/>
              </w:rPr>
            </w:pPr>
            <w:r>
              <w:rPr>
                <w:rFonts w:ascii="Arial" w:cs="Arial" w:eastAsia="Arial" w:hAnsi="Arial"/>
                <w:sz w:val="14"/>
                <w:szCs w:val="14"/>
                <w:color w:val="auto"/>
              </w:rPr>
              <w:t>Provision for income</w:t>
            </w:r>
          </w:p>
        </w:tc>
        <w:tc>
          <w:tcPr>
            <w:tcW w:w="160" w:type="dxa"/>
            <w:vAlign w:val="bottom"/>
          </w:tcPr>
          <w:p>
            <w:pPr>
              <w:spacing w:after="0"/>
              <w:rPr>
                <w:sz w:val="12"/>
                <w:szCs w:val="12"/>
                <w:color w:val="auto"/>
              </w:rPr>
            </w:pPr>
          </w:p>
        </w:tc>
        <w:tc>
          <w:tcPr>
            <w:tcW w:w="1420" w:type="dxa"/>
            <w:vAlign w:val="bottom"/>
            <w:gridSpan w:val="2"/>
            <w:vMerge w:val="restart"/>
          </w:tcPr>
          <w:p>
            <w:pPr>
              <w:jc w:val="center"/>
              <w:ind w:right="240"/>
              <w:spacing w:after="0"/>
              <w:rPr>
                <w:sz w:val="20"/>
                <w:szCs w:val="20"/>
                <w:color w:val="auto"/>
              </w:rPr>
            </w:pPr>
            <w:r>
              <w:rPr>
                <w:rFonts w:ascii="Arial" w:cs="Arial" w:eastAsia="Arial" w:hAnsi="Arial"/>
                <w:sz w:val="14"/>
                <w:szCs w:val="14"/>
                <w:color w:val="auto"/>
              </w:rPr>
              <w:t>Net income from</w:t>
            </w:r>
          </w:p>
        </w:tc>
        <w:tc>
          <w:tcPr>
            <w:tcW w:w="140" w:type="dxa"/>
            <w:vAlign w:val="bottom"/>
          </w:tcPr>
          <w:p>
            <w:pPr>
              <w:spacing w:after="0"/>
              <w:rPr>
                <w:sz w:val="12"/>
                <w:szCs w:val="12"/>
                <w:color w:val="auto"/>
              </w:rPr>
            </w:pPr>
          </w:p>
        </w:tc>
        <w:tc>
          <w:tcPr>
            <w:tcW w:w="1360" w:type="dxa"/>
            <w:vAlign w:val="bottom"/>
            <w:gridSpan w:val="2"/>
          </w:tcPr>
          <w:p>
            <w:pPr>
              <w:jc w:val="center"/>
              <w:ind w:right="220"/>
              <w:spacing w:after="0" w:line="145" w:lineRule="exact"/>
              <w:rPr>
                <w:sz w:val="20"/>
                <w:szCs w:val="20"/>
                <w:color w:val="auto"/>
              </w:rPr>
            </w:pPr>
            <w:r>
              <w:rPr>
                <w:rFonts w:ascii="Arial" w:cs="Arial" w:eastAsia="Arial" w:hAnsi="Arial"/>
                <w:sz w:val="14"/>
                <w:szCs w:val="14"/>
                <w:color w:val="auto"/>
              </w:rPr>
              <w:t>continuing</w:t>
            </w:r>
          </w:p>
        </w:tc>
        <w:tc>
          <w:tcPr>
            <w:tcW w:w="2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500" w:type="dxa"/>
            <w:vAlign w:val="bottom"/>
          </w:tcPr>
          <w:p>
            <w:pPr>
              <w:spacing w:after="0"/>
              <w:rPr>
                <w:sz w:val="12"/>
                <w:szCs w:val="12"/>
                <w:color w:val="auto"/>
              </w:rPr>
            </w:pPr>
          </w:p>
        </w:tc>
        <w:tc>
          <w:tcPr>
            <w:tcW w:w="1580" w:type="dxa"/>
            <w:vAlign w:val="bottom"/>
            <w:gridSpan w:val="3"/>
            <w:vMerge w:val="restart"/>
          </w:tcPr>
          <w:p>
            <w:pPr>
              <w:jc w:val="center"/>
              <w:ind w:right="80"/>
              <w:spacing w:after="0"/>
              <w:rPr>
                <w:sz w:val="20"/>
                <w:szCs w:val="20"/>
                <w:color w:val="auto"/>
              </w:rPr>
            </w:pPr>
            <w:r>
              <w:rPr>
                <w:rFonts w:ascii="Arial" w:cs="Arial" w:eastAsia="Arial" w:hAnsi="Arial"/>
                <w:sz w:val="14"/>
                <w:szCs w:val="14"/>
                <w:color w:val="auto"/>
              </w:rPr>
              <w:t>Income before taxes</w:t>
            </w:r>
          </w:p>
        </w:tc>
        <w:tc>
          <w:tcPr>
            <w:tcW w:w="160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1500" w:type="dxa"/>
            <w:vAlign w:val="bottom"/>
            <w:gridSpan w:val="3"/>
          </w:tcPr>
          <w:p>
            <w:pPr>
              <w:ind w:left="40"/>
              <w:spacing w:after="0" w:line="149" w:lineRule="exact"/>
              <w:rPr>
                <w:sz w:val="20"/>
                <w:szCs w:val="20"/>
                <w:color w:val="auto"/>
              </w:rPr>
            </w:pPr>
            <w:r>
              <w:rPr>
                <w:rFonts w:ascii="Arial" w:cs="Arial" w:eastAsia="Arial" w:hAnsi="Arial"/>
                <w:sz w:val="14"/>
                <w:szCs w:val="14"/>
                <w:color w:val="auto"/>
              </w:rPr>
              <w:t>operations per share</w:t>
            </w:r>
          </w:p>
        </w:tc>
        <w:tc>
          <w:tcPr>
            <w:tcW w:w="2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3500" w:type="dxa"/>
            <w:vAlign w:val="bottom"/>
          </w:tcPr>
          <w:p>
            <w:pPr>
              <w:spacing w:after="0"/>
              <w:rPr>
                <w:sz w:val="16"/>
                <w:szCs w:val="16"/>
                <w:color w:val="auto"/>
              </w:rPr>
            </w:pPr>
          </w:p>
        </w:tc>
        <w:tc>
          <w:tcPr>
            <w:tcW w:w="1580" w:type="dxa"/>
            <w:vAlign w:val="bottom"/>
            <w:gridSpan w:val="3"/>
            <w:vMerge w:val="continue"/>
          </w:tcPr>
          <w:p>
            <w:pPr>
              <w:spacing w:after="0"/>
              <w:rPr>
                <w:sz w:val="16"/>
                <w:szCs w:val="16"/>
                <w:color w:val="auto"/>
              </w:rPr>
            </w:pPr>
          </w:p>
        </w:tc>
        <w:tc>
          <w:tcPr>
            <w:tcW w:w="320" w:type="dxa"/>
            <w:vAlign w:val="bottom"/>
          </w:tcPr>
          <w:p>
            <w:pPr>
              <w:spacing w:after="0"/>
              <w:rPr>
                <w:sz w:val="16"/>
                <w:szCs w:val="16"/>
                <w:color w:val="auto"/>
              </w:rPr>
            </w:pPr>
          </w:p>
        </w:tc>
        <w:tc>
          <w:tcPr>
            <w:tcW w:w="1280" w:type="dxa"/>
            <w:vAlign w:val="bottom"/>
            <w:gridSpan w:val="2"/>
          </w:tcPr>
          <w:p>
            <w:pPr>
              <w:jc w:val="center"/>
              <w:ind w:right="420"/>
              <w:spacing w:after="0"/>
              <w:rPr>
                <w:sz w:val="20"/>
                <w:szCs w:val="20"/>
                <w:color w:val="auto"/>
              </w:rPr>
            </w:pPr>
            <w:r>
              <w:rPr>
                <w:rFonts w:ascii="Arial" w:cs="Arial" w:eastAsia="Arial" w:hAnsi="Arial"/>
                <w:sz w:val="14"/>
                <w:szCs w:val="14"/>
                <w:color w:val="auto"/>
              </w:rPr>
              <w:t>taxes</w:t>
            </w:r>
          </w:p>
        </w:tc>
        <w:tc>
          <w:tcPr>
            <w:tcW w:w="1580" w:type="dxa"/>
            <w:vAlign w:val="bottom"/>
            <w:gridSpan w:val="3"/>
          </w:tcPr>
          <w:p>
            <w:pPr>
              <w:jc w:val="center"/>
              <w:ind w:right="80"/>
              <w:spacing w:after="0"/>
              <w:rPr>
                <w:sz w:val="20"/>
                <w:szCs w:val="20"/>
                <w:color w:val="auto"/>
              </w:rPr>
            </w:pPr>
            <w:r>
              <w:rPr>
                <w:rFonts w:ascii="Arial" w:cs="Arial" w:eastAsia="Arial" w:hAnsi="Arial"/>
                <w:sz w:val="14"/>
                <w:szCs w:val="14"/>
                <w:color w:val="auto"/>
              </w:rPr>
              <w:t>continuing operations</w:t>
            </w:r>
          </w:p>
        </w:tc>
        <w:tc>
          <w:tcPr>
            <w:tcW w:w="140" w:type="dxa"/>
            <w:vAlign w:val="bottom"/>
          </w:tcPr>
          <w:p>
            <w:pPr>
              <w:spacing w:after="0"/>
              <w:rPr>
                <w:sz w:val="16"/>
                <w:szCs w:val="16"/>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4"/>
                <w:szCs w:val="14"/>
                <w:color w:val="auto"/>
              </w:rPr>
              <w:t>- diluted</w:t>
            </w:r>
          </w:p>
        </w:tc>
        <w:tc>
          <w:tcPr>
            <w:tcW w:w="2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35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As Reported in GAAP Statements</w:t>
            </w:r>
          </w:p>
        </w:tc>
        <w:tc>
          <w:tcPr>
            <w:tcW w:w="260" w:type="dxa"/>
            <w:vAlign w:val="bottom"/>
            <w:tcBorders>
              <w:top w:val="single" w:sz="8" w:color="auto"/>
            </w:tcBorders>
            <w:shd w:val="clear" w:color="auto" w:fill="CCEEFF"/>
          </w:tcPr>
          <w:p>
            <w:pPr>
              <w:jc w:val="right"/>
              <w:ind w:right="61"/>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30,461</w:t>
            </w: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9,835</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tcBorders>
            <w:shd w:val="clear" w:color="auto" w:fill="CCEEFF"/>
          </w:tcPr>
          <w:p>
            <w:pPr>
              <w:jc w:val="right"/>
              <w:ind w:right="140"/>
              <w:spacing w:after="0"/>
              <w:rPr>
                <w:sz w:val="20"/>
                <w:szCs w:val="20"/>
                <w:color w:val="auto"/>
              </w:rPr>
            </w:pPr>
            <w:r>
              <w:rPr>
                <w:rFonts w:ascii="Arial" w:cs="Arial" w:eastAsia="Arial" w:hAnsi="Arial"/>
                <w:sz w:val="16"/>
                <w:szCs w:val="16"/>
                <w:color w:val="auto"/>
              </w:rPr>
              <w:t>20,626</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0.69</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500" w:type="dxa"/>
            <w:vAlign w:val="bottom"/>
          </w:tcPr>
          <w:p>
            <w:pPr>
              <w:ind w:left="20"/>
              <w:spacing w:after="0"/>
              <w:rPr>
                <w:sz w:val="20"/>
                <w:szCs w:val="20"/>
                <w:color w:val="auto"/>
              </w:rPr>
            </w:pPr>
            <w:r>
              <w:rPr>
                <w:rFonts w:ascii="Arial" w:cs="Arial" w:eastAsia="Arial" w:hAnsi="Arial"/>
                <w:sz w:val="14"/>
                <w:szCs w:val="14"/>
                <w:color w:val="auto"/>
              </w:rPr>
              <w:t>Restructuring Charges (1)</w:t>
            </w:r>
          </w:p>
        </w:tc>
        <w:tc>
          <w:tcPr>
            <w:tcW w:w="260" w:type="dxa"/>
            <w:vAlign w:val="bottom"/>
          </w:tcPr>
          <w:p>
            <w:pPr>
              <w:spacing w:after="0"/>
              <w:rPr>
                <w:sz w:val="18"/>
                <w:szCs w:val="18"/>
                <w:color w:val="auto"/>
              </w:rPr>
            </w:pPr>
          </w:p>
        </w:tc>
        <w:tc>
          <w:tcPr>
            <w:tcW w:w="1220" w:type="dxa"/>
            <w:vAlign w:val="bottom"/>
          </w:tcPr>
          <w:p>
            <w:pPr>
              <w:jc w:val="right"/>
              <w:ind w:right="120"/>
              <w:spacing w:after="0"/>
              <w:rPr>
                <w:sz w:val="20"/>
                <w:szCs w:val="20"/>
                <w:color w:val="auto"/>
              </w:rPr>
            </w:pPr>
            <w:r>
              <w:rPr>
                <w:rFonts w:ascii="Arial" w:cs="Arial" w:eastAsia="Arial" w:hAnsi="Arial"/>
                <w:sz w:val="16"/>
                <w:szCs w:val="16"/>
                <w:color w:val="auto"/>
              </w:rPr>
              <w:t>2,084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jc w:val="right"/>
              <w:ind w:right="120"/>
              <w:spacing w:after="0"/>
              <w:rPr>
                <w:sz w:val="20"/>
                <w:szCs w:val="20"/>
                <w:color w:val="auto"/>
              </w:rPr>
            </w:pPr>
            <w:r>
              <w:rPr>
                <w:rFonts w:ascii="Arial" w:cs="Arial" w:eastAsia="Arial" w:hAnsi="Arial"/>
                <w:sz w:val="16"/>
                <w:szCs w:val="16"/>
                <w:color w:val="auto"/>
              </w:rPr>
              <w:t>572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ind w:right="140"/>
              <w:spacing w:after="0"/>
              <w:rPr>
                <w:sz w:val="20"/>
                <w:szCs w:val="20"/>
                <w:color w:val="auto"/>
              </w:rPr>
            </w:pPr>
            <w:r>
              <w:rPr>
                <w:rFonts w:ascii="Arial" w:cs="Arial" w:eastAsia="Arial" w:hAnsi="Arial"/>
                <w:sz w:val="16"/>
                <w:szCs w:val="16"/>
                <w:color w:val="auto"/>
              </w:rPr>
              <w:t>1,512</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right"/>
              <w:ind w:right="1"/>
              <w:spacing w:after="0"/>
              <w:rPr>
                <w:sz w:val="20"/>
                <w:szCs w:val="20"/>
                <w:color w:val="auto"/>
              </w:rPr>
            </w:pPr>
            <w:r>
              <w:rPr>
                <w:rFonts w:ascii="Arial" w:cs="Arial" w:eastAsia="Arial" w:hAnsi="Arial"/>
                <w:sz w:val="16"/>
                <w:szCs w:val="16"/>
                <w:color w:val="auto"/>
              </w:rPr>
              <w:t>0.05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Acquisition Related Costs (2)</w:t>
            </w:r>
          </w:p>
        </w:tc>
        <w:tc>
          <w:tcPr>
            <w:tcW w:w="2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7,776</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(174)</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6"/>
                <w:szCs w:val="16"/>
                <w:color w:val="auto"/>
              </w:rPr>
              <w:t>7,950</w:t>
            </w: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0.27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500" w:type="dxa"/>
            <w:vAlign w:val="bottom"/>
          </w:tcPr>
          <w:p>
            <w:pPr>
              <w:ind w:left="20"/>
              <w:spacing w:after="0"/>
              <w:rPr>
                <w:sz w:val="20"/>
                <w:szCs w:val="20"/>
                <w:color w:val="auto"/>
              </w:rPr>
            </w:pPr>
            <w:r>
              <w:rPr>
                <w:rFonts w:ascii="Arial" w:cs="Arial" w:eastAsia="Arial" w:hAnsi="Arial"/>
                <w:sz w:val="14"/>
                <w:szCs w:val="14"/>
                <w:color w:val="auto"/>
              </w:rPr>
              <w:t>Adjusted Financial Measures</w:t>
            </w:r>
          </w:p>
        </w:tc>
        <w:tc>
          <w:tcPr>
            <w:tcW w:w="26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40,321</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10,233</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30,088</w:t>
            </w:r>
          </w:p>
        </w:tc>
        <w:tc>
          <w:tcPr>
            <w:tcW w:w="80" w:type="dxa"/>
            <w:vAlign w:val="bottom"/>
          </w:tcPr>
          <w:p>
            <w:pPr>
              <w:spacing w:after="0"/>
              <w:rPr>
                <w:sz w:val="18"/>
                <w:szCs w:val="18"/>
                <w:color w:val="auto"/>
              </w:rPr>
            </w:pPr>
          </w:p>
        </w:tc>
        <w:tc>
          <w:tcPr>
            <w:tcW w:w="1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1.01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5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5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9"/>
        </w:trPr>
        <w:tc>
          <w:tcPr>
            <w:tcW w:w="3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4"/>
                <w:szCs w:val="14"/>
                <w:color w:val="auto"/>
              </w:rPr>
              <w:t>Residential</w:t>
            </w:r>
          </w:p>
        </w:tc>
        <w:tc>
          <w:tcPr>
            <w:tcW w:w="320" w:type="dxa"/>
            <w:vAlign w:val="bottom"/>
          </w:tcPr>
          <w:p>
            <w:pPr>
              <w:spacing w:after="0"/>
              <w:rPr>
                <w:sz w:val="17"/>
                <w:szCs w:val="17"/>
                <w:color w:val="auto"/>
              </w:rPr>
            </w:pPr>
          </w:p>
        </w:tc>
        <w:tc>
          <w:tcPr>
            <w:tcW w:w="1280" w:type="dxa"/>
            <w:vAlign w:val="bottom"/>
            <w:gridSpan w:val="2"/>
          </w:tcPr>
          <w:p>
            <w:pPr>
              <w:jc w:val="center"/>
              <w:ind w:right="420"/>
              <w:spacing w:after="0"/>
              <w:rPr>
                <w:sz w:val="20"/>
                <w:szCs w:val="20"/>
                <w:color w:val="auto"/>
              </w:rPr>
            </w:pPr>
            <w:r>
              <w:rPr>
                <w:rFonts w:ascii="Arial" w:cs="Arial" w:eastAsia="Arial" w:hAnsi="Arial"/>
                <w:sz w:val="14"/>
                <w:szCs w:val="14"/>
                <w:color w:val="auto"/>
              </w:rPr>
              <w:t>Agtech</w:t>
            </w:r>
          </w:p>
        </w:tc>
        <w:tc>
          <w:tcPr>
            <w:tcW w:w="160" w:type="dxa"/>
            <w:vAlign w:val="bottom"/>
          </w:tcPr>
          <w:p>
            <w:pPr>
              <w:spacing w:after="0"/>
              <w:rPr>
                <w:sz w:val="17"/>
                <w:szCs w:val="17"/>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4"/>
                <w:szCs w:val="14"/>
                <w:color w:val="auto"/>
              </w:rPr>
              <w:t>Infrastructure</w:t>
            </w:r>
          </w:p>
        </w:tc>
        <w:tc>
          <w:tcPr>
            <w:tcW w:w="140" w:type="dxa"/>
            <w:vAlign w:val="bottom"/>
          </w:tcPr>
          <w:p>
            <w:pPr>
              <w:spacing w:after="0"/>
              <w:rPr>
                <w:sz w:val="17"/>
                <w:szCs w:val="17"/>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4"/>
                <w:szCs w:val="14"/>
                <w:color w:val="auto"/>
              </w:rPr>
              <w:t>Corporate</w:t>
            </w:r>
          </w:p>
        </w:tc>
        <w:tc>
          <w:tcPr>
            <w:tcW w:w="220" w:type="dxa"/>
            <w:vAlign w:val="bottom"/>
          </w:tcPr>
          <w:p>
            <w:pPr>
              <w:spacing w:after="0"/>
              <w:rPr>
                <w:sz w:val="17"/>
                <w:szCs w:val="17"/>
                <w:color w:val="auto"/>
              </w:rPr>
            </w:pPr>
          </w:p>
        </w:tc>
        <w:tc>
          <w:tcPr>
            <w:tcW w:w="1260" w:type="dxa"/>
            <w:vAlign w:val="bottom"/>
          </w:tcPr>
          <w:p>
            <w:pPr>
              <w:jc w:val="right"/>
              <w:ind w:right="240"/>
              <w:spacing w:after="0"/>
              <w:rPr>
                <w:sz w:val="20"/>
                <w:szCs w:val="20"/>
                <w:color w:val="auto"/>
              </w:rPr>
            </w:pPr>
            <w:r>
              <w:rPr>
                <w:rFonts w:ascii="Arial" w:cs="Arial" w:eastAsia="Arial" w:hAnsi="Arial"/>
                <w:sz w:val="14"/>
                <w:szCs w:val="14"/>
                <w:color w:val="auto"/>
              </w:rPr>
              <w:t>Consolidated</w:t>
            </w:r>
          </w:p>
        </w:tc>
        <w:tc>
          <w:tcPr>
            <w:tcW w:w="0" w:type="dxa"/>
            <w:vAlign w:val="bottom"/>
          </w:tcPr>
          <w:p>
            <w:pPr>
              <w:spacing w:after="0"/>
              <w:rPr>
                <w:sz w:val="1"/>
                <w:szCs w:val="1"/>
                <w:color w:val="auto"/>
              </w:rPr>
            </w:pPr>
          </w:p>
        </w:tc>
      </w:tr>
      <w:tr>
        <w:trPr>
          <w:trHeight w:val="213"/>
        </w:trPr>
        <w:tc>
          <w:tcPr>
            <w:tcW w:w="35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Operating Margin</w:t>
            </w:r>
          </w:p>
        </w:tc>
        <w:tc>
          <w:tcPr>
            <w:tcW w:w="26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12.4 %</w:t>
            </w: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8.7 %</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19.6 %</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n/a</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10.3 %</w:t>
            </w:r>
          </w:p>
        </w:tc>
        <w:tc>
          <w:tcPr>
            <w:tcW w:w="0" w:type="dxa"/>
            <w:vAlign w:val="bottom"/>
          </w:tcPr>
          <w:p>
            <w:pPr>
              <w:spacing w:after="0"/>
              <w:rPr>
                <w:sz w:val="1"/>
                <w:szCs w:val="1"/>
                <w:color w:val="auto"/>
              </w:rPr>
            </w:pPr>
          </w:p>
        </w:tc>
      </w:tr>
      <w:tr>
        <w:trPr>
          <w:trHeight w:val="215"/>
        </w:trPr>
        <w:tc>
          <w:tcPr>
            <w:tcW w:w="3500" w:type="dxa"/>
            <w:vAlign w:val="bottom"/>
          </w:tcPr>
          <w:p>
            <w:pPr>
              <w:ind w:left="20"/>
              <w:spacing w:after="0"/>
              <w:rPr>
                <w:sz w:val="20"/>
                <w:szCs w:val="20"/>
                <w:color w:val="auto"/>
              </w:rPr>
            </w:pPr>
            <w:r>
              <w:rPr>
                <w:rFonts w:ascii="Arial" w:cs="Arial" w:eastAsia="Arial" w:hAnsi="Arial"/>
                <w:sz w:val="14"/>
                <w:szCs w:val="14"/>
                <w:color w:val="auto"/>
              </w:rPr>
              <w:t>Restructuring Charges (1)</w:t>
            </w:r>
          </w:p>
        </w:tc>
        <w:tc>
          <w:tcPr>
            <w:tcW w:w="2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0.3 %</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1.2 %</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ind w:left="960"/>
              <w:spacing w:after="0"/>
              <w:rPr>
                <w:sz w:val="20"/>
                <w:szCs w:val="20"/>
                <w:color w:val="auto"/>
              </w:rPr>
            </w:pPr>
            <w:r>
              <w:rPr>
                <w:rFonts w:ascii="Arial" w:cs="Arial" w:eastAsia="Arial" w:hAnsi="Arial"/>
                <w:sz w:val="16"/>
                <w:szCs w:val="16"/>
                <w:color w:val="auto"/>
              </w:rPr>
              <w:t>— %</w:t>
            </w:r>
          </w:p>
        </w:tc>
        <w:tc>
          <w:tcPr>
            <w:tcW w:w="14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6"/>
                <w:szCs w:val="16"/>
                <w:color w:val="auto"/>
              </w:rPr>
              <w:t>n/a</w:t>
            </w: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0.4 %</w:t>
            </w:r>
          </w:p>
        </w:tc>
        <w:tc>
          <w:tcPr>
            <w:tcW w:w="0" w:type="dxa"/>
            <w:vAlign w:val="bottom"/>
          </w:tcPr>
          <w:p>
            <w:pPr>
              <w:spacing w:after="0"/>
              <w:rPr>
                <w:sz w:val="1"/>
                <w:szCs w:val="1"/>
                <w:color w:val="auto"/>
              </w:rPr>
            </w:pPr>
          </w:p>
        </w:tc>
      </w:tr>
      <w:tr>
        <w:trPr>
          <w:trHeight w:val="217"/>
        </w:trPr>
        <w:tc>
          <w:tcPr>
            <w:tcW w:w="3500" w:type="dxa"/>
            <w:vAlign w:val="bottom"/>
            <w:shd w:val="clear" w:color="auto" w:fill="CCEEFF"/>
          </w:tcPr>
          <w:p>
            <w:pPr>
              <w:ind w:left="60"/>
              <w:spacing w:after="0"/>
              <w:rPr>
                <w:sz w:val="20"/>
                <w:szCs w:val="20"/>
                <w:color w:val="auto"/>
              </w:rPr>
            </w:pPr>
            <w:r>
              <w:rPr>
                <w:rFonts w:ascii="Arial" w:cs="Arial" w:eastAsia="Arial" w:hAnsi="Arial"/>
                <w:sz w:val="14"/>
                <w:szCs w:val="14"/>
                <w:color w:val="auto"/>
              </w:rPr>
              <w:t>Acquisition Related Costs (2)</w:t>
            </w: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1.2 %</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820"/>
              <w:spacing w:after="0"/>
              <w:rPr>
                <w:sz w:val="20"/>
                <w:szCs w:val="20"/>
                <w:color w:val="auto"/>
              </w:rPr>
            </w:pPr>
            <w:r>
              <w:rPr>
                <w:rFonts w:ascii="Arial" w:cs="Arial" w:eastAsia="Arial" w:hAnsi="Arial"/>
                <w:sz w:val="16"/>
                <w:szCs w:val="16"/>
                <w:color w:val="auto"/>
              </w:rPr>
              <w:t>— %</w:t>
            </w: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ind w:left="960"/>
              <w:spacing w:after="0"/>
              <w:rPr>
                <w:sz w:val="20"/>
                <w:szCs w:val="20"/>
                <w:color w:val="auto"/>
              </w:rPr>
            </w:pPr>
            <w:r>
              <w:rPr>
                <w:rFonts w:ascii="Arial" w:cs="Arial" w:eastAsia="Arial" w:hAnsi="Arial"/>
                <w:sz w:val="16"/>
                <w:szCs w:val="16"/>
                <w:color w:val="auto"/>
              </w:rPr>
              <w:t>— %</w:t>
            </w: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n/a</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1.6 %</w:t>
            </w:r>
          </w:p>
        </w:tc>
        <w:tc>
          <w:tcPr>
            <w:tcW w:w="0" w:type="dxa"/>
            <w:vAlign w:val="bottom"/>
          </w:tcPr>
          <w:p>
            <w:pPr>
              <w:spacing w:after="0"/>
              <w:rPr>
                <w:sz w:val="1"/>
                <w:szCs w:val="1"/>
                <w:color w:val="auto"/>
              </w:rPr>
            </w:pPr>
          </w:p>
        </w:tc>
      </w:tr>
      <w:tr>
        <w:trPr>
          <w:trHeight w:val="210"/>
        </w:trPr>
        <w:tc>
          <w:tcPr>
            <w:tcW w:w="3500" w:type="dxa"/>
            <w:vAlign w:val="bottom"/>
          </w:tcPr>
          <w:p>
            <w:pPr>
              <w:ind w:left="20"/>
              <w:spacing w:after="0"/>
              <w:rPr>
                <w:sz w:val="20"/>
                <w:szCs w:val="20"/>
                <w:color w:val="auto"/>
              </w:rPr>
            </w:pPr>
            <w:r>
              <w:rPr>
                <w:rFonts w:ascii="Arial" w:cs="Arial" w:eastAsia="Arial" w:hAnsi="Arial"/>
                <w:sz w:val="14"/>
                <w:szCs w:val="14"/>
                <w:color w:val="auto"/>
              </w:rPr>
              <w:t>Adjusted Operating Margin</w:t>
            </w:r>
          </w:p>
        </w:tc>
        <w:tc>
          <w:tcPr>
            <w:tcW w:w="26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13.9 %</w:t>
            </w:r>
          </w:p>
        </w:tc>
        <w:tc>
          <w:tcPr>
            <w:tcW w:w="100" w:type="dxa"/>
            <w:vAlign w:val="bottom"/>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9.9 %</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19.6 %</w:t>
            </w:r>
          </w:p>
        </w:tc>
        <w:tc>
          <w:tcPr>
            <w:tcW w:w="8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n/a</w:t>
            </w: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12.3 %</w:t>
            </w:r>
          </w:p>
        </w:tc>
        <w:tc>
          <w:tcPr>
            <w:tcW w:w="0" w:type="dxa"/>
            <w:vAlign w:val="bottom"/>
          </w:tcPr>
          <w:p>
            <w:pPr>
              <w:spacing w:after="0"/>
              <w:rPr>
                <w:sz w:val="1"/>
                <w:szCs w:val="1"/>
                <w:color w:val="auto"/>
              </w:rPr>
            </w:pPr>
          </w:p>
        </w:tc>
      </w:tr>
      <w:tr>
        <w:trPr>
          <w:trHeight w:val="20"/>
        </w:trPr>
        <w:tc>
          <w:tcPr>
            <w:tcW w:w="35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5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3500" w:type="dxa"/>
            <w:vAlign w:val="bottom"/>
          </w:tcPr>
          <w:p>
            <w:pPr>
              <w:ind w:left="20"/>
              <w:spacing w:after="0"/>
              <w:rPr>
                <w:sz w:val="20"/>
                <w:szCs w:val="20"/>
                <w:color w:val="auto"/>
              </w:rPr>
            </w:pPr>
            <w:r>
              <w:rPr>
                <w:rFonts w:ascii="Arial" w:cs="Arial" w:eastAsia="Arial" w:hAnsi="Arial"/>
                <w:sz w:val="14"/>
                <w:szCs w:val="14"/>
                <w:color w:val="auto"/>
              </w:rPr>
              <w:t>Income from Operations</w:t>
            </w:r>
          </w:p>
        </w:tc>
        <w:tc>
          <w:tcPr>
            <w:tcW w:w="26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120"/>
              <w:spacing w:after="0"/>
              <w:rPr>
                <w:sz w:val="20"/>
                <w:szCs w:val="20"/>
                <w:color w:val="auto"/>
              </w:rPr>
            </w:pPr>
            <w:r>
              <w:rPr>
                <w:rFonts w:ascii="Arial" w:cs="Arial" w:eastAsia="Arial" w:hAnsi="Arial"/>
                <w:sz w:val="16"/>
                <w:szCs w:val="16"/>
                <w:color w:val="auto"/>
              </w:rPr>
              <w:t>49,328</w:t>
            </w:r>
          </w:p>
        </w:tc>
        <w:tc>
          <w:tcPr>
            <w:tcW w:w="100" w:type="dxa"/>
            <w:vAlign w:val="bottom"/>
          </w:tcPr>
          <w:p>
            <w:pPr>
              <w:spacing w:after="0"/>
              <w:rPr>
                <w:sz w:val="18"/>
                <w:szCs w:val="18"/>
                <w:color w:val="auto"/>
              </w:rPr>
            </w:pPr>
          </w:p>
        </w:tc>
        <w:tc>
          <w:tcPr>
            <w:tcW w:w="320" w:type="dxa"/>
            <w:vAlign w:val="bottom"/>
          </w:tcPr>
          <w:p>
            <w:pPr>
              <w:jc w:val="right"/>
              <w:ind w:right="121"/>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120"/>
              <w:spacing w:after="0"/>
              <w:rPr>
                <w:sz w:val="20"/>
                <w:szCs w:val="20"/>
                <w:color w:val="auto"/>
              </w:rPr>
            </w:pPr>
            <w:r>
              <w:rPr>
                <w:rFonts w:ascii="Arial" w:cs="Arial" w:eastAsia="Arial" w:hAnsi="Arial"/>
                <w:sz w:val="16"/>
                <w:szCs w:val="16"/>
                <w:color w:val="auto"/>
              </w:rPr>
              <w:t>5,152</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ind w:right="140"/>
              <w:spacing w:after="0"/>
              <w:rPr>
                <w:sz w:val="20"/>
                <w:szCs w:val="20"/>
                <w:color w:val="auto"/>
              </w:rPr>
            </w:pPr>
            <w:r>
              <w:rPr>
                <w:rFonts w:ascii="Arial" w:cs="Arial" w:eastAsia="Arial" w:hAnsi="Arial"/>
                <w:sz w:val="16"/>
                <w:szCs w:val="16"/>
                <w:color w:val="auto"/>
              </w:rPr>
              <w:t>4,179</w:t>
            </w:r>
          </w:p>
        </w:tc>
        <w:tc>
          <w:tcPr>
            <w:tcW w:w="80" w:type="dxa"/>
            <w:vAlign w:val="bottom"/>
          </w:tcPr>
          <w:p>
            <w:pPr>
              <w:spacing w:after="0"/>
              <w:rPr>
                <w:sz w:val="18"/>
                <w:szCs w:val="18"/>
                <w:color w:val="auto"/>
              </w:rPr>
            </w:pPr>
          </w:p>
        </w:tc>
        <w:tc>
          <w:tcPr>
            <w:tcW w:w="140" w:type="dxa"/>
            <w:vAlign w:val="bottom"/>
          </w:tcPr>
          <w:p>
            <w:pPr>
              <w:ind w:left="20"/>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(9,397)</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ind w:right="120"/>
              <w:spacing w:after="0"/>
              <w:rPr>
                <w:sz w:val="20"/>
                <w:szCs w:val="20"/>
                <w:color w:val="auto"/>
              </w:rPr>
            </w:pPr>
            <w:r>
              <w:rPr>
                <w:rFonts w:ascii="Arial" w:cs="Arial" w:eastAsia="Arial" w:hAnsi="Arial"/>
                <w:sz w:val="16"/>
                <w:szCs w:val="16"/>
                <w:color w:val="auto"/>
              </w:rPr>
              <w:t>49,262</w:t>
            </w:r>
          </w:p>
        </w:tc>
        <w:tc>
          <w:tcPr>
            <w:tcW w:w="0" w:type="dxa"/>
            <w:vAlign w:val="bottom"/>
          </w:tcPr>
          <w:p>
            <w:pPr>
              <w:spacing w:after="0"/>
              <w:rPr>
                <w:sz w:val="1"/>
                <w:szCs w:val="1"/>
                <w:color w:val="auto"/>
              </w:rPr>
            </w:pPr>
          </w:p>
        </w:tc>
      </w:tr>
      <w:tr>
        <w:trPr>
          <w:trHeight w:val="217"/>
        </w:trPr>
        <w:tc>
          <w:tcPr>
            <w:tcW w:w="350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Restructuring Charges (1)</w:t>
            </w: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1,381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703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2,084</w:t>
            </w:r>
          </w:p>
        </w:tc>
        <w:tc>
          <w:tcPr>
            <w:tcW w:w="0" w:type="dxa"/>
            <w:vAlign w:val="bottom"/>
          </w:tcPr>
          <w:p>
            <w:pPr>
              <w:spacing w:after="0"/>
              <w:rPr>
                <w:sz w:val="1"/>
                <w:szCs w:val="1"/>
                <w:color w:val="auto"/>
              </w:rPr>
            </w:pPr>
          </w:p>
        </w:tc>
      </w:tr>
      <w:tr>
        <w:trPr>
          <w:trHeight w:val="215"/>
        </w:trPr>
        <w:tc>
          <w:tcPr>
            <w:tcW w:w="3500" w:type="dxa"/>
            <w:vAlign w:val="bottom"/>
          </w:tcPr>
          <w:p>
            <w:pPr>
              <w:ind w:left="20"/>
              <w:spacing w:after="0"/>
              <w:rPr>
                <w:sz w:val="20"/>
                <w:szCs w:val="20"/>
                <w:color w:val="auto"/>
              </w:rPr>
            </w:pPr>
            <w:r>
              <w:rPr>
                <w:rFonts w:ascii="Arial" w:cs="Arial" w:eastAsia="Arial" w:hAnsi="Arial"/>
                <w:sz w:val="14"/>
                <w:szCs w:val="14"/>
                <w:color w:val="auto"/>
              </w:rPr>
              <w:t>Acquisition Related Costs (2)</w:t>
            </w:r>
          </w:p>
        </w:tc>
        <w:tc>
          <w:tcPr>
            <w:tcW w:w="260" w:type="dxa"/>
            <w:vAlign w:val="bottom"/>
          </w:tcPr>
          <w:p>
            <w:pPr>
              <w:spacing w:after="0"/>
              <w:rPr>
                <w:sz w:val="18"/>
                <w:szCs w:val="18"/>
                <w:color w:val="auto"/>
              </w:rPr>
            </w:pPr>
          </w:p>
        </w:tc>
        <w:tc>
          <w:tcPr>
            <w:tcW w:w="1220" w:type="dxa"/>
            <w:vAlign w:val="bottom"/>
          </w:tcPr>
          <w:p>
            <w:pPr>
              <w:jc w:val="right"/>
              <w:ind w:right="120"/>
              <w:spacing w:after="0"/>
              <w:rPr>
                <w:sz w:val="20"/>
                <w:szCs w:val="20"/>
                <w:color w:val="auto"/>
              </w:rPr>
            </w:pPr>
            <w:r>
              <w:rPr>
                <w:rFonts w:ascii="Arial" w:cs="Arial" w:eastAsia="Arial" w:hAnsi="Arial"/>
                <w:sz w:val="16"/>
                <w:szCs w:val="16"/>
                <w:color w:val="auto"/>
              </w:rPr>
              <w:t>4,883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42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60" w:type="dxa"/>
            <w:vAlign w:val="bottom"/>
          </w:tcPr>
          <w:p>
            <w:pPr>
              <w:jc w:val="right"/>
              <w:ind w:right="1"/>
              <w:spacing w:after="0"/>
              <w:rPr>
                <w:sz w:val="20"/>
                <w:szCs w:val="20"/>
                <w:color w:val="auto"/>
              </w:rPr>
            </w:pPr>
            <w:r>
              <w:rPr>
                <w:rFonts w:ascii="Arial" w:cs="Arial" w:eastAsia="Arial" w:hAnsi="Arial"/>
                <w:sz w:val="16"/>
                <w:szCs w:val="16"/>
                <w:color w:val="auto"/>
              </w:rPr>
              <w:t>2,893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right"/>
              <w:ind w:right="120"/>
              <w:spacing w:after="0"/>
              <w:rPr>
                <w:sz w:val="20"/>
                <w:szCs w:val="20"/>
                <w:color w:val="auto"/>
              </w:rPr>
            </w:pPr>
            <w:r>
              <w:rPr>
                <w:rFonts w:ascii="Arial" w:cs="Arial" w:eastAsia="Arial" w:hAnsi="Arial"/>
                <w:sz w:val="16"/>
                <w:szCs w:val="16"/>
                <w:color w:val="auto"/>
              </w:rPr>
              <w:t>7,776</w:t>
            </w:r>
          </w:p>
        </w:tc>
        <w:tc>
          <w:tcPr>
            <w:tcW w:w="0" w:type="dxa"/>
            <w:vAlign w:val="bottom"/>
          </w:tcPr>
          <w:p>
            <w:pPr>
              <w:spacing w:after="0"/>
              <w:rPr>
                <w:sz w:val="1"/>
                <w:szCs w:val="1"/>
                <w:color w:val="auto"/>
              </w:rPr>
            </w:pPr>
          </w:p>
        </w:tc>
      </w:tr>
      <w:tr>
        <w:trPr>
          <w:trHeight w:val="235"/>
        </w:trPr>
        <w:tc>
          <w:tcPr>
            <w:tcW w:w="35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Adjusted Income from Operations</w:t>
            </w:r>
          </w:p>
        </w:tc>
        <w:tc>
          <w:tcPr>
            <w:tcW w:w="260" w:type="dxa"/>
            <w:vAlign w:val="bottom"/>
            <w:tcBorders>
              <w:top w:val="single" w:sz="8" w:color="auto"/>
              <w:bottom w:val="single" w:sz="8" w:color="auto"/>
            </w:tcBorders>
            <w:shd w:val="clear" w:color="auto" w:fill="CCEEFF"/>
          </w:tcPr>
          <w:p>
            <w:pPr>
              <w:jc w:val="right"/>
              <w:ind w:right="61"/>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55,592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5,855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bottom w:val="single" w:sz="8" w:color="auto"/>
            </w:tcBorders>
            <w:shd w:val="clear" w:color="auto" w:fill="CCEEFF"/>
          </w:tcPr>
          <w:p>
            <w:pPr>
              <w:jc w:val="right"/>
              <w:ind w:right="140"/>
              <w:spacing w:after="0"/>
              <w:rPr>
                <w:sz w:val="20"/>
                <w:szCs w:val="20"/>
                <w:color w:val="auto"/>
              </w:rPr>
            </w:pPr>
            <w:r>
              <w:rPr>
                <w:rFonts w:ascii="Arial" w:cs="Arial" w:eastAsia="Arial" w:hAnsi="Arial"/>
                <w:sz w:val="16"/>
                <w:szCs w:val="16"/>
                <w:color w:val="auto"/>
              </w:rPr>
              <w:t>4,179</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(6,504)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59,122</w:t>
            </w:r>
          </w:p>
        </w:tc>
        <w:tc>
          <w:tcPr>
            <w:tcW w:w="0" w:type="dxa"/>
            <w:vAlign w:val="bottom"/>
          </w:tcPr>
          <w:p>
            <w:pPr>
              <w:spacing w:after="0"/>
              <w:rPr>
                <w:sz w:val="1"/>
                <w:szCs w:val="1"/>
                <w:color w:val="auto"/>
              </w:rPr>
            </w:pPr>
          </w:p>
        </w:tc>
      </w:tr>
      <w:tr>
        <w:trPr>
          <w:trHeight w:val="20"/>
        </w:trPr>
        <w:tc>
          <w:tcPr>
            <w:tcW w:w="35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Sales</w:t>
            </w:r>
          </w:p>
        </w:tc>
        <w:tc>
          <w:tcPr>
            <w:tcW w:w="26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398,952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59,326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21,292</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479,570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1289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254" w:lineRule="exact"/>
        <w:rPr>
          <w:sz w:val="20"/>
          <w:szCs w:val="20"/>
          <w:color w:val="auto"/>
        </w:rPr>
      </w:pPr>
    </w:p>
    <w:p>
      <w:pPr>
        <w:ind w:left="240" w:hanging="214"/>
        <w:spacing w:after="0"/>
        <w:tabs>
          <w:tab w:leader="none" w:pos="240" w:val="left"/>
        </w:tabs>
        <w:numPr>
          <w:ilvl w:val="0"/>
          <w:numId w:val="10"/>
        </w:numPr>
        <w:rPr>
          <w:rFonts w:ascii="Arial" w:cs="Arial" w:eastAsia="Arial" w:hAnsi="Arial"/>
          <w:sz w:val="14"/>
          <w:szCs w:val="14"/>
          <w:color w:val="auto"/>
        </w:rPr>
      </w:pPr>
      <w:r>
        <w:rPr>
          <w:rFonts w:ascii="Arial" w:cs="Arial" w:eastAsia="Arial" w:hAnsi="Arial"/>
          <w:sz w:val="14"/>
          <w:szCs w:val="14"/>
          <w:color w:val="auto"/>
        </w:rPr>
        <w:t>Comprised primarily of exit activities costs</w:t>
      </w:r>
    </w:p>
    <w:p>
      <w:pPr>
        <w:spacing w:after="0" w:line="41" w:lineRule="exact"/>
        <w:rPr>
          <w:rFonts w:ascii="Arial" w:cs="Arial" w:eastAsia="Arial" w:hAnsi="Arial"/>
          <w:sz w:val="14"/>
          <w:szCs w:val="14"/>
          <w:color w:val="auto"/>
        </w:rPr>
      </w:pPr>
    </w:p>
    <w:p>
      <w:pPr>
        <w:ind w:left="240" w:hanging="214"/>
        <w:spacing w:after="0"/>
        <w:tabs>
          <w:tab w:leader="none" w:pos="240" w:val="left"/>
        </w:tabs>
        <w:numPr>
          <w:ilvl w:val="0"/>
          <w:numId w:val="10"/>
        </w:numPr>
        <w:rPr>
          <w:rFonts w:ascii="Arial" w:cs="Arial" w:eastAsia="Arial" w:hAnsi="Arial"/>
          <w:sz w:val="14"/>
          <w:szCs w:val="14"/>
          <w:color w:val="auto"/>
        </w:rPr>
      </w:pPr>
      <w:r>
        <w:rPr>
          <w:rFonts w:ascii="Arial" w:cs="Arial" w:eastAsia="Arial" w:hAnsi="Arial"/>
          <w:sz w:val="14"/>
          <w:szCs w:val="14"/>
          <w:color w:val="auto"/>
        </w:rPr>
        <w:t>Represents acquisition related expenses including due diligence and integration costs of recent business combinations</w:t>
      </w:r>
    </w:p>
    <w:p>
      <w:pPr>
        <w:sectPr>
          <w:pgSz w:w="11900" w:h="16838" w:orient="portrait"/>
          <w:cols w:equalWidth="0" w:num="1">
            <w:col w:w="11240"/>
          </w:cols>
          <w:pgMar w:left="320" w:top="1093" w:right="3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5205730</wp:posOffset>
            </wp:positionH>
            <wp:positionV relativeFrom="page">
              <wp:posOffset>243205</wp:posOffset>
            </wp:positionV>
            <wp:extent cx="2134235" cy="2743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2134235" cy="274320"/>
                    </a:xfrm>
                    <a:prstGeom prst="rect">
                      <a:avLst/>
                    </a:prstGeom>
                    <a:noFill/>
                  </pic:spPr>
                </pic:pic>
              </a:graphicData>
            </a:graphic>
          </wp:anchor>
        </w:drawing>
        <w:t>GIBRALTAR INDUSTRIES,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Reconciliation of GAAP and Adjusted Financial Measures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Three Months Ended September 30, 2025</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gridSpan w:val="3"/>
            <w:vMerge w:val="restart"/>
          </w:tcPr>
          <w:p>
            <w:pPr>
              <w:jc w:val="center"/>
              <w:ind w:right="100"/>
              <w:spacing w:after="0"/>
              <w:rPr>
                <w:sz w:val="20"/>
                <w:szCs w:val="20"/>
                <w:color w:val="auto"/>
              </w:rPr>
            </w:pPr>
            <w:r>
              <w:rPr>
                <w:rFonts w:ascii="Arial" w:cs="Arial" w:eastAsia="Arial" w:hAnsi="Arial"/>
                <w:sz w:val="14"/>
                <w:szCs w:val="14"/>
                <w:color w:val="auto"/>
              </w:rPr>
              <w:t>Provision for income</w:t>
            </w:r>
          </w:p>
        </w:tc>
        <w:tc>
          <w:tcPr>
            <w:tcW w:w="140" w:type="dxa"/>
            <w:vAlign w:val="bottom"/>
          </w:tcPr>
          <w:p>
            <w:pPr>
              <w:spacing w:after="0"/>
              <w:rPr>
                <w:sz w:val="14"/>
                <w:szCs w:val="14"/>
                <w:color w:val="auto"/>
              </w:rPr>
            </w:pPr>
          </w:p>
        </w:tc>
        <w:tc>
          <w:tcPr>
            <w:tcW w:w="1420" w:type="dxa"/>
            <w:vAlign w:val="bottom"/>
            <w:gridSpan w:val="2"/>
            <w:vMerge w:val="restart"/>
          </w:tcPr>
          <w:p>
            <w:pPr>
              <w:jc w:val="center"/>
              <w:ind w:right="240"/>
              <w:spacing w:after="0"/>
              <w:rPr>
                <w:sz w:val="20"/>
                <w:szCs w:val="20"/>
                <w:color w:val="auto"/>
              </w:rPr>
            </w:pPr>
            <w:r>
              <w:rPr>
                <w:rFonts w:ascii="Arial" w:cs="Arial" w:eastAsia="Arial" w:hAnsi="Arial"/>
                <w:sz w:val="14"/>
                <w:szCs w:val="14"/>
                <w:color w:val="auto"/>
              </w:rPr>
              <w:t>Net income from</w:t>
            </w:r>
          </w:p>
        </w:tc>
        <w:tc>
          <w:tcPr>
            <w:tcW w:w="120" w:type="dxa"/>
            <w:vAlign w:val="bottom"/>
          </w:tcPr>
          <w:p>
            <w:pPr>
              <w:spacing w:after="0"/>
              <w:rPr>
                <w:sz w:val="14"/>
                <w:szCs w:val="14"/>
                <w:color w:val="auto"/>
              </w:rPr>
            </w:pPr>
          </w:p>
        </w:tc>
        <w:tc>
          <w:tcPr>
            <w:tcW w:w="1400" w:type="dxa"/>
            <w:vAlign w:val="bottom"/>
            <w:gridSpan w:val="2"/>
          </w:tcPr>
          <w:p>
            <w:pPr>
              <w:jc w:val="center"/>
              <w:ind w:right="220"/>
              <w:spacing w:after="0"/>
              <w:rPr>
                <w:sz w:val="20"/>
                <w:szCs w:val="20"/>
                <w:color w:val="auto"/>
              </w:rPr>
            </w:pPr>
            <w:r>
              <w:rPr>
                <w:rFonts w:ascii="Arial" w:cs="Arial" w:eastAsia="Arial" w:hAnsi="Arial"/>
                <w:sz w:val="14"/>
                <w:szCs w:val="14"/>
                <w:color w:val="auto"/>
              </w:rPr>
              <w:t>Net income from</w:t>
            </w:r>
          </w:p>
        </w:tc>
        <w:tc>
          <w:tcPr>
            <w:tcW w:w="2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3540" w:type="dxa"/>
            <w:vAlign w:val="bottom"/>
          </w:tcPr>
          <w:p>
            <w:pPr>
              <w:spacing w:after="0"/>
              <w:rPr>
                <w:sz w:val="12"/>
                <w:szCs w:val="12"/>
                <w:color w:val="auto"/>
              </w:rPr>
            </w:pPr>
          </w:p>
        </w:tc>
        <w:tc>
          <w:tcPr>
            <w:tcW w:w="1560" w:type="dxa"/>
            <w:vAlign w:val="bottom"/>
            <w:gridSpan w:val="3"/>
            <w:vMerge w:val="restart"/>
          </w:tcPr>
          <w:p>
            <w:pPr>
              <w:jc w:val="center"/>
              <w:ind w:right="100"/>
              <w:spacing w:after="0"/>
              <w:rPr>
                <w:sz w:val="20"/>
                <w:szCs w:val="20"/>
                <w:color w:val="auto"/>
              </w:rPr>
            </w:pPr>
            <w:r>
              <w:rPr>
                <w:rFonts w:ascii="Arial" w:cs="Arial" w:eastAsia="Arial" w:hAnsi="Arial"/>
                <w:sz w:val="14"/>
                <w:szCs w:val="14"/>
                <w:color w:val="auto"/>
              </w:rPr>
              <w:t>Income before taxes</w:t>
            </w:r>
          </w:p>
        </w:tc>
        <w:tc>
          <w:tcPr>
            <w:tcW w:w="160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1520" w:type="dxa"/>
            <w:vAlign w:val="bottom"/>
            <w:gridSpan w:val="3"/>
          </w:tcPr>
          <w:p>
            <w:pPr>
              <w:ind w:left="20"/>
              <w:spacing w:after="0" w:line="145" w:lineRule="exact"/>
              <w:rPr>
                <w:sz w:val="20"/>
                <w:szCs w:val="20"/>
                <w:color w:val="auto"/>
              </w:rPr>
            </w:pPr>
            <w:r>
              <w:rPr>
                <w:rFonts w:ascii="Arial" w:cs="Arial" w:eastAsia="Arial" w:hAnsi="Arial"/>
                <w:sz w:val="14"/>
                <w:szCs w:val="14"/>
                <w:color w:val="auto"/>
              </w:rPr>
              <w:t>continuing operations</w:t>
            </w:r>
          </w:p>
        </w:tc>
        <w:tc>
          <w:tcPr>
            <w:tcW w:w="2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3540" w:type="dxa"/>
            <w:vAlign w:val="bottom"/>
          </w:tcPr>
          <w:p>
            <w:pPr>
              <w:spacing w:after="0"/>
              <w:rPr>
                <w:sz w:val="16"/>
                <w:szCs w:val="16"/>
                <w:color w:val="auto"/>
              </w:rPr>
            </w:pPr>
          </w:p>
        </w:tc>
        <w:tc>
          <w:tcPr>
            <w:tcW w:w="1560" w:type="dxa"/>
            <w:vAlign w:val="bottom"/>
            <w:gridSpan w:val="3"/>
            <w:vMerge w:val="continue"/>
          </w:tcPr>
          <w:p>
            <w:pPr>
              <w:spacing w:after="0"/>
              <w:rPr>
                <w:sz w:val="16"/>
                <w:szCs w:val="16"/>
                <w:color w:val="auto"/>
              </w:rPr>
            </w:pPr>
          </w:p>
        </w:tc>
        <w:tc>
          <w:tcPr>
            <w:tcW w:w="320" w:type="dxa"/>
            <w:vAlign w:val="bottom"/>
          </w:tcPr>
          <w:p>
            <w:pPr>
              <w:spacing w:after="0"/>
              <w:rPr>
                <w:sz w:val="16"/>
                <w:szCs w:val="16"/>
                <w:color w:val="auto"/>
              </w:rPr>
            </w:pPr>
          </w:p>
        </w:tc>
        <w:tc>
          <w:tcPr>
            <w:tcW w:w="1280" w:type="dxa"/>
            <w:vAlign w:val="bottom"/>
            <w:gridSpan w:val="2"/>
          </w:tcPr>
          <w:p>
            <w:pPr>
              <w:jc w:val="center"/>
              <w:ind w:right="420"/>
              <w:spacing w:after="0"/>
              <w:rPr>
                <w:sz w:val="20"/>
                <w:szCs w:val="20"/>
                <w:color w:val="auto"/>
              </w:rPr>
            </w:pPr>
            <w:r>
              <w:rPr>
                <w:rFonts w:ascii="Arial" w:cs="Arial" w:eastAsia="Arial" w:hAnsi="Arial"/>
                <w:sz w:val="14"/>
                <w:szCs w:val="14"/>
                <w:color w:val="auto"/>
              </w:rPr>
              <w:t>taxes</w:t>
            </w:r>
          </w:p>
        </w:tc>
        <w:tc>
          <w:tcPr>
            <w:tcW w:w="1560" w:type="dxa"/>
            <w:vAlign w:val="bottom"/>
            <w:gridSpan w:val="3"/>
          </w:tcPr>
          <w:p>
            <w:pPr>
              <w:jc w:val="center"/>
              <w:ind w:right="100"/>
              <w:spacing w:after="0"/>
              <w:rPr>
                <w:sz w:val="20"/>
                <w:szCs w:val="20"/>
                <w:color w:val="auto"/>
              </w:rPr>
            </w:pPr>
            <w:r>
              <w:rPr>
                <w:rFonts w:ascii="Arial" w:cs="Arial" w:eastAsia="Arial" w:hAnsi="Arial"/>
                <w:sz w:val="14"/>
                <w:szCs w:val="14"/>
                <w:color w:val="auto"/>
              </w:rPr>
              <w:t>continuing operations</w:t>
            </w:r>
          </w:p>
        </w:tc>
        <w:tc>
          <w:tcPr>
            <w:tcW w:w="120" w:type="dxa"/>
            <w:vAlign w:val="bottom"/>
          </w:tcPr>
          <w:p>
            <w:pPr>
              <w:spacing w:after="0"/>
              <w:rPr>
                <w:sz w:val="16"/>
                <w:szCs w:val="16"/>
                <w:color w:val="auto"/>
              </w:rPr>
            </w:pPr>
          </w:p>
        </w:tc>
        <w:tc>
          <w:tcPr>
            <w:tcW w:w="1400" w:type="dxa"/>
            <w:vAlign w:val="bottom"/>
            <w:gridSpan w:val="2"/>
          </w:tcPr>
          <w:p>
            <w:pPr>
              <w:jc w:val="center"/>
              <w:ind w:right="200"/>
              <w:spacing w:after="0"/>
              <w:rPr>
                <w:sz w:val="20"/>
                <w:szCs w:val="20"/>
                <w:color w:val="auto"/>
              </w:rPr>
            </w:pPr>
            <w:r>
              <w:rPr>
                <w:rFonts w:ascii="Arial" w:cs="Arial" w:eastAsia="Arial" w:hAnsi="Arial"/>
                <w:sz w:val="14"/>
                <w:szCs w:val="14"/>
                <w:color w:val="auto"/>
              </w:rPr>
              <w:t>per share - diluted</w:t>
            </w:r>
          </w:p>
        </w:tc>
        <w:tc>
          <w:tcPr>
            <w:tcW w:w="2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35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As Reported in GAAP Statements</w:t>
            </w:r>
          </w:p>
        </w:tc>
        <w:tc>
          <w:tcPr>
            <w:tcW w:w="240" w:type="dxa"/>
            <w:vAlign w:val="bottom"/>
            <w:tcBorders>
              <w:top w:val="single" w:sz="8" w:color="auto"/>
            </w:tcBorders>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41,929</w:t>
            </w: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41"/>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tcBorders>
            <w:shd w:val="clear" w:color="auto" w:fill="CCEEFF"/>
          </w:tcPr>
          <w:p>
            <w:pPr>
              <w:jc w:val="right"/>
              <w:ind w:right="140"/>
              <w:spacing w:after="0"/>
              <w:rPr>
                <w:sz w:val="20"/>
                <w:szCs w:val="20"/>
                <w:color w:val="auto"/>
              </w:rPr>
            </w:pPr>
            <w:r>
              <w:rPr>
                <w:rFonts w:ascii="Arial" w:cs="Arial" w:eastAsia="Arial" w:hAnsi="Arial"/>
                <w:sz w:val="16"/>
                <w:szCs w:val="16"/>
                <w:color w:val="auto"/>
              </w:rPr>
              <w:t>8,724</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33,205</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1.11</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540" w:type="dxa"/>
            <w:vAlign w:val="bottom"/>
          </w:tcPr>
          <w:p>
            <w:pPr>
              <w:ind w:left="20"/>
              <w:spacing w:after="0"/>
              <w:rPr>
                <w:sz w:val="20"/>
                <w:szCs w:val="20"/>
                <w:color w:val="auto"/>
              </w:rPr>
            </w:pPr>
            <w:r>
              <w:rPr>
                <w:rFonts w:ascii="Arial" w:cs="Arial" w:eastAsia="Arial" w:hAnsi="Arial"/>
                <w:sz w:val="14"/>
                <w:szCs w:val="14"/>
                <w:color w:val="auto"/>
              </w:rPr>
              <w:t>Restructuring Charges (1)</w:t>
            </w:r>
          </w:p>
        </w:tc>
        <w:tc>
          <w:tcPr>
            <w:tcW w:w="240" w:type="dxa"/>
            <w:vAlign w:val="bottom"/>
          </w:tcPr>
          <w:p>
            <w:pPr>
              <w:spacing w:after="0"/>
              <w:rPr>
                <w:sz w:val="18"/>
                <w:szCs w:val="18"/>
                <w:color w:val="auto"/>
              </w:rPr>
            </w:pPr>
          </w:p>
        </w:tc>
        <w:tc>
          <w:tcPr>
            <w:tcW w:w="1220" w:type="dxa"/>
            <w:vAlign w:val="bottom"/>
          </w:tcPr>
          <w:p>
            <w:pPr>
              <w:jc w:val="right"/>
              <w:ind w:right="120"/>
              <w:spacing w:after="0"/>
              <w:rPr>
                <w:sz w:val="20"/>
                <w:szCs w:val="20"/>
                <w:color w:val="auto"/>
              </w:rPr>
            </w:pPr>
            <w:r>
              <w:rPr>
                <w:rFonts w:ascii="Arial" w:cs="Arial" w:eastAsia="Arial" w:hAnsi="Arial"/>
                <w:sz w:val="16"/>
                <w:szCs w:val="16"/>
                <w:color w:val="auto"/>
              </w:rPr>
              <w:t>1,297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jc w:val="right"/>
              <w:ind w:right="140"/>
              <w:spacing w:after="0"/>
              <w:rPr>
                <w:sz w:val="20"/>
                <w:szCs w:val="20"/>
                <w:color w:val="auto"/>
              </w:rPr>
            </w:pPr>
            <w:r>
              <w:rPr>
                <w:rFonts w:ascii="Arial" w:cs="Arial" w:eastAsia="Arial" w:hAnsi="Arial"/>
                <w:sz w:val="16"/>
                <w:szCs w:val="16"/>
                <w:color w:val="auto"/>
              </w:rPr>
              <w:t>143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ind w:right="120"/>
              <w:spacing w:after="0"/>
              <w:rPr>
                <w:sz w:val="20"/>
                <w:szCs w:val="20"/>
                <w:color w:val="auto"/>
              </w:rPr>
            </w:pPr>
            <w:r>
              <w:rPr>
                <w:rFonts w:ascii="Arial" w:cs="Arial" w:eastAsia="Arial" w:hAnsi="Arial"/>
                <w:sz w:val="16"/>
                <w:szCs w:val="16"/>
                <w:color w:val="auto"/>
              </w:rPr>
              <w:t>1,154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0.04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Acquisition Related Costs (2) (3)</w:t>
            </w:r>
          </w:p>
        </w:tc>
        <w:tc>
          <w:tcPr>
            <w:tcW w:w="2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(624)</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(219)</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(405)</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(0.01)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540" w:type="dxa"/>
            <w:vAlign w:val="bottom"/>
          </w:tcPr>
          <w:p>
            <w:pPr>
              <w:ind w:left="20"/>
              <w:spacing w:after="0"/>
              <w:rPr>
                <w:sz w:val="20"/>
                <w:szCs w:val="20"/>
                <w:color w:val="auto"/>
              </w:rPr>
            </w:pPr>
            <w:r>
              <w:rPr>
                <w:rFonts w:ascii="Arial" w:cs="Arial" w:eastAsia="Arial" w:hAnsi="Arial"/>
                <w:sz w:val="14"/>
                <w:szCs w:val="14"/>
                <w:color w:val="auto"/>
              </w:rPr>
              <w:t>Adjusted Financial Measures</w:t>
            </w:r>
          </w:p>
        </w:tc>
        <w:tc>
          <w:tcPr>
            <w:tcW w:w="24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42,602</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41"/>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8,648</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33,954</w:t>
            </w:r>
          </w:p>
        </w:tc>
        <w:tc>
          <w:tcPr>
            <w:tcW w:w="100" w:type="dxa"/>
            <w:vAlign w:val="bottom"/>
          </w:tcPr>
          <w:p>
            <w:pPr>
              <w:spacing w:after="0"/>
              <w:rPr>
                <w:sz w:val="18"/>
                <w:szCs w:val="18"/>
                <w:color w:val="auto"/>
              </w:rPr>
            </w:pPr>
          </w:p>
        </w:tc>
        <w:tc>
          <w:tcPr>
            <w:tcW w:w="1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5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5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4"/>
                <w:szCs w:val="14"/>
                <w:color w:val="auto"/>
              </w:rPr>
              <w:t>Residential</w:t>
            </w:r>
          </w:p>
        </w:tc>
        <w:tc>
          <w:tcPr>
            <w:tcW w:w="320" w:type="dxa"/>
            <w:vAlign w:val="bottom"/>
          </w:tcPr>
          <w:p>
            <w:pPr>
              <w:spacing w:after="0"/>
              <w:rPr>
                <w:sz w:val="17"/>
                <w:szCs w:val="17"/>
                <w:color w:val="auto"/>
              </w:rPr>
            </w:pPr>
          </w:p>
        </w:tc>
        <w:tc>
          <w:tcPr>
            <w:tcW w:w="1280" w:type="dxa"/>
            <w:vAlign w:val="bottom"/>
            <w:gridSpan w:val="2"/>
          </w:tcPr>
          <w:p>
            <w:pPr>
              <w:jc w:val="center"/>
              <w:ind w:right="420"/>
              <w:spacing w:after="0"/>
              <w:rPr>
                <w:sz w:val="20"/>
                <w:szCs w:val="20"/>
                <w:color w:val="auto"/>
              </w:rPr>
            </w:pPr>
            <w:r>
              <w:rPr>
                <w:rFonts w:ascii="Arial" w:cs="Arial" w:eastAsia="Arial" w:hAnsi="Arial"/>
                <w:sz w:val="14"/>
                <w:szCs w:val="14"/>
                <w:color w:val="auto"/>
              </w:rPr>
              <w:t>Agtech</w:t>
            </w:r>
          </w:p>
        </w:tc>
        <w:tc>
          <w:tcPr>
            <w:tcW w:w="140" w:type="dxa"/>
            <w:vAlign w:val="bottom"/>
          </w:tcPr>
          <w:p>
            <w:pPr>
              <w:spacing w:after="0"/>
              <w:rPr>
                <w:sz w:val="17"/>
                <w:szCs w:val="17"/>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4"/>
                <w:szCs w:val="14"/>
                <w:color w:val="auto"/>
              </w:rPr>
              <w:t>Infrastructure</w:t>
            </w:r>
          </w:p>
        </w:tc>
        <w:tc>
          <w:tcPr>
            <w:tcW w:w="120" w:type="dxa"/>
            <w:vAlign w:val="bottom"/>
          </w:tcPr>
          <w:p>
            <w:pPr>
              <w:spacing w:after="0"/>
              <w:rPr>
                <w:sz w:val="17"/>
                <w:szCs w:val="17"/>
                <w:color w:val="auto"/>
              </w:rPr>
            </w:pPr>
          </w:p>
        </w:tc>
        <w:tc>
          <w:tcPr>
            <w:tcW w:w="1400" w:type="dxa"/>
            <w:vAlign w:val="bottom"/>
            <w:gridSpan w:val="2"/>
          </w:tcPr>
          <w:p>
            <w:pPr>
              <w:jc w:val="center"/>
              <w:ind w:right="200"/>
              <w:spacing w:after="0"/>
              <w:rPr>
                <w:sz w:val="20"/>
                <w:szCs w:val="20"/>
                <w:color w:val="auto"/>
              </w:rPr>
            </w:pPr>
            <w:r>
              <w:rPr>
                <w:rFonts w:ascii="Arial" w:cs="Arial" w:eastAsia="Arial" w:hAnsi="Arial"/>
                <w:sz w:val="14"/>
                <w:szCs w:val="14"/>
                <w:color w:val="auto"/>
              </w:rPr>
              <w:t>Corporate</w:t>
            </w:r>
          </w:p>
        </w:tc>
        <w:tc>
          <w:tcPr>
            <w:tcW w:w="220" w:type="dxa"/>
            <w:vAlign w:val="bottom"/>
          </w:tcPr>
          <w:p>
            <w:pPr>
              <w:spacing w:after="0"/>
              <w:rPr>
                <w:sz w:val="17"/>
                <w:szCs w:val="17"/>
                <w:color w:val="auto"/>
              </w:rPr>
            </w:pPr>
          </w:p>
        </w:tc>
        <w:tc>
          <w:tcPr>
            <w:tcW w:w="1240" w:type="dxa"/>
            <w:vAlign w:val="bottom"/>
          </w:tcPr>
          <w:p>
            <w:pPr>
              <w:jc w:val="right"/>
              <w:ind w:right="220"/>
              <w:spacing w:after="0"/>
              <w:rPr>
                <w:sz w:val="20"/>
                <w:szCs w:val="20"/>
                <w:color w:val="auto"/>
              </w:rPr>
            </w:pPr>
            <w:r>
              <w:rPr>
                <w:rFonts w:ascii="Arial" w:cs="Arial" w:eastAsia="Arial" w:hAnsi="Arial"/>
                <w:sz w:val="14"/>
                <w:szCs w:val="14"/>
                <w:color w:val="auto"/>
              </w:rPr>
              <w:t>Consolidated</w:t>
            </w:r>
          </w:p>
        </w:tc>
        <w:tc>
          <w:tcPr>
            <w:tcW w:w="0" w:type="dxa"/>
            <w:vAlign w:val="bottom"/>
          </w:tcPr>
          <w:p>
            <w:pPr>
              <w:spacing w:after="0"/>
              <w:rPr>
                <w:sz w:val="1"/>
                <w:szCs w:val="1"/>
                <w:color w:val="auto"/>
              </w:rPr>
            </w:pPr>
          </w:p>
        </w:tc>
      </w:tr>
      <w:tr>
        <w:trPr>
          <w:trHeight w:val="214"/>
        </w:trPr>
        <w:tc>
          <w:tcPr>
            <w:tcW w:w="35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Operating Margin</w:t>
            </w:r>
          </w:p>
        </w:tc>
        <w:tc>
          <w:tcPr>
            <w:tcW w:w="24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17.6 %</w:t>
            </w: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5.5 %</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20.5 %</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n/a</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12.8 %</w:t>
            </w:r>
          </w:p>
        </w:tc>
        <w:tc>
          <w:tcPr>
            <w:tcW w:w="0" w:type="dxa"/>
            <w:vAlign w:val="bottom"/>
          </w:tcPr>
          <w:p>
            <w:pPr>
              <w:spacing w:after="0"/>
              <w:rPr>
                <w:sz w:val="1"/>
                <w:szCs w:val="1"/>
                <w:color w:val="auto"/>
              </w:rPr>
            </w:pPr>
          </w:p>
        </w:tc>
      </w:tr>
      <w:tr>
        <w:trPr>
          <w:trHeight w:val="215"/>
        </w:trPr>
        <w:tc>
          <w:tcPr>
            <w:tcW w:w="3540" w:type="dxa"/>
            <w:vAlign w:val="bottom"/>
          </w:tcPr>
          <w:p>
            <w:pPr>
              <w:ind w:left="20"/>
              <w:spacing w:after="0"/>
              <w:rPr>
                <w:sz w:val="20"/>
                <w:szCs w:val="20"/>
                <w:color w:val="auto"/>
              </w:rPr>
            </w:pPr>
            <w:r>
              <w:rPr>
                <w:rFonts w:ascii="Arial" w:cs="Arial" w:eastAsia="Arial" w:hAnsi="Arial"/>
                <w:sz w:val="14"/>
                <w:szCs w:val="14"/>
                <w:color w:val="auto"/>
              </w:rPr>
              <w:t>Restructuring Charges (1)</w:t>
            </w: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0.5 %</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0.2 %</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ind w:left="960"/>
              <w:spacing w:after="0"/>
              <w:rPr>
                <w:sz w:val="20"/>
                <w:szCs w:val="20"/>
                <w:color w:val="auto"/>
              </w:rPr>
            </w:pPr>
            <w:r>
              <w:rPr>
                <w:rFonts w:ascii="Arial" w:cs="Arial" w:eastAsia="Arial" w:hAnsi="Arial"/>
                <w:sz w:val="16"/>
                <w:szCs w:val="16"/>
                <w:color w:val="auto"/>
              </w:rPr>
              <w:t>— %</w:t>
            </w:r>
          </w:p>
        </w:tc>
        <w:tc>
          <w:tcPr>
            <w:tcW w:w="12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6"/>
                <w:szCs w:val="16"/>
                <w:color w:val="auto"/>
              </w:rPr>
              <w:t>n/a</w:t>
            </w: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0.4 %</w:t>
            </w:r>
          </w:p>
        </w:tc>
        <w:tc>
          <w:tcPr>
            <w:tcW w:w="0" w:type="dxa"/>
            <w:vAlign w:val="bottom"/>
          </w:tcPr>
          <w:p>
            <w:pPr>
              <w:spacing w:after="0"/>
              <w:rPr>
                <w:sz w:val="1"/>
                <w:szCs w:val="1"/>
                <w:color w:val="auto"/>
              </w:rPr>
            </w:pPr>
          </w:p>
        </w:tc>
      </w:tr>
      <w:tr>
        <w:trPr>
          <w:trHeight w:val="217"/>
        </w:trPr>
        <w:tc>
          <w:tcPr>
            <w:tcW w:w="3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Acquisition Related Costs (2)</w:t>
            </w: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0.2 %</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800"/>
              <w:spacing w:after="0"/>
              <w:rPr>
                <w:sz w:val="20"/>
                <w:szCs w:val="20"/>
                <w:color w:val="auto"/>
              </w:rPr>
            </w:pPr>
            <w:r>
              <w:rPr>
                <w:rFonts w:ascii="Arial" w:cs="Arial" w:eastAsia="Arial" w:hAnsi="Arial"/>
                <w:sz w:val="16"/>
                <w:szCs w:val="16"/>
                <w:color w:val="auto"/>
              </w:rPr>
              <w:t>— %</w:t>
            </w: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ind w:left="960"/>
              <w:spacing w:after="0"/>
              <w:rPr>
                <w:sz w:val="20"/>
                <w:szCs w:val="20"/>
                <w:color w:val="auto"/>
              </w:rPr>
            </w:pPr>
            <w:r>
              <w:rPr>
                <w:rFonts w:ascii="Arial" w:cs="Arial" w:eastAsia="Arial" w:hAnsi="Arial"/>
                <w:sz w:val="16"/>
                <w:szCs w:val="16"/>
                <w:color w:val="auto"/>
              </w:rPr>
              <w:t>— %</w:t>
            </w: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n/a</w:t>
            </w: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0.4 %</w:t>
            </w:r>
          </w:p>
        </w:tc>
        <w:tc>
          <w:tcPr>
            <w:tcW w:w="0" w:type="dxa"/>
            <w:vAlign w:val="bottom"/>
          </w:tcPr>
          <w:p>
            <w:pPr>
              <w:spacing w:after="0"/>
              <w:rPr>
                <w:sz w:val="1"/>
                <w:szCs w:val="1"/>
                <w:color w:val="auto"/>
              </w:rPr>
            </w:pPr>
          </w:p>
        </w:tc>
      </w:tr>
      <w:tr>
        <w:trPr>
          <w:trHeight w:val="209"/>
        </w:trPr>
        <w:tc>
          <w:tcPr>
            <w:tcW w:w="3540" w:type="dxa"/>
            <w:vAlign w:val="bottom"/>
          </w:tcPr>
          <w:p>
            <w:pPr>
              <w:ind w:left="20"/>
              <w:spacing w:after="0"/>
              <w:rPr>
                <w:sz w:val="20"/>
                <w:szCs w:val="20"/>
                <w:color w:val="auto"/>
              </w:rPr>
            </w:pPr>
            <w:r>
              <w:rPr>
                <w:rFonts w:ascii="Arial" w:cs="Arial" w:eastAsia="Arial" w:hAnsi="Arial"/>
                <w:sz w:val="14"/>
                <w:szCs w:val="14"/>
                <w:color w:val="auto"/>
              </w:rPr>
              <w:t>Adjusted Operating Margin</w:t>
            </w:r>
          </w:p>
        </w:tc>
        <w:tc>
          <w:tcPr>
            <w:tcW w:w="24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18.2 %</w:t>
            </w:r>
          </w:p>
        </w:tc>
        <w:tc>
          <w:tcPr>
            <w:tcW w:w="100" w:type="dxa"/>
            <w:vAlign w:val="bottom"/>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5.7 %</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20.5 %</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n/a</w:t>
            </w: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13.7 %</w:t>
            </w:r>
          </w:p>
        </w:tc>
        <w:tc>
          <w:tcPr>
            <w:tcW w:w="0" w:type="dxa"/>
            <w:vAlign w:val="bottom"/>
          </w:tcPr>
          <w:p>
            <w:pPr>
              <w:spacing w:after="0"/>
              <w:rPr>
                <w:sz w:val="1"/>
                <w:szCs w:val="1"/>
                <w:color w:val="auto"/>
              </w:rPr>
            </w:pPr>
          </w:p>
        </w:tc>
      </w:tr>
      <w:tr>
        <w:trPr>
          <w:trHeight w:val="20"/>
        </w:trPr>
        <w:tc>
          <w:tcPr>
            <w:tcW w:w="35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5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3540" w:type="dxa"/>
            <w:vAlign w:val="bottom"/>
          </w:tcPr>
          <w:p>
            <w:pPr>
              <w:ind w:left="20"/>
              <w:spacing w:after="0"/>
              <w:rPr>
                <w:sz w:val="20"/>
                <w:szCs w:val="20"/>
                <w:color w:val="auto"/>
              </w:rPr>
            </w:pPr>
            <w:r>
              <w:rPr>
                <w:rFonts w:ascii="Arial" w:cs="Arial" w:eastAsia="Arial" w:hAnsi="Arial"/>
                <w:sz w:val="14"/>
                <w:szCs w:val="14"/>
                <w:color w:val="auto"/>
              </w:rPr>
              <w:t>Income from Operations</w:t>
            </w:r>
          </w:p>
        </w:tc>
        <w:tc>
          <w:tcPr>
            <w:tcW w:w="240" w:type="dxa"/>
            <w:vAlign w:val="bottom"/>
          </w:tcPr>
          <w:p>
            <w:pPr>
              <w:jc w:val="right"/>
              <w:ind w:right="61"/>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120"/>
              <w:spacing w:after="0"/>
              <w:rPr>
                <w:sz w:val="20"/>
                <w:szCs w:val="20"/>
                <w:color w:val="auto"/>
              </w:rPr>
            </w:pPr>
            <w:r>
              <w:rPr>
                <w:rFonts w:ascii="Arial" w:cs="Arial" w:eastAsia="Arial" w:hAnsi="Arial"/>
                <w:sz w:val="16"/>
                <w:szCs w:val="16"/>
                <w:color w:val="auto"/>
              </w:rPr>
              <w:t>40,432</w:t>
            </w:r>
          </w:p>
        </w:tc>
        <w:tc>
          <w:tcPr>
            <w:tcW w:w="100" w:type="dxa"/>
            <w:vAlign w:val="bottom"/>
          </w:tcPr>
          <w:p>
            <w:pPr>
              <w:spacing w:after="0"/>
              <w:rPr>
                <w:sz w:val="18"/>
                <w:szCs w:val="18"/>
                <w:color w:val="auto"/>
              </w:rPr>
            </w:pPr>
          </w:p>
        </w:tc>
        <w:tc>
          <w:tcPr>
            <w:tcW w:w="320" w:type="dxa"/>
            <w:vAlign w:val="bottom"/>
          </w:tcPr>
          <w:p>
            <w:pPr>
              <w:jc w:val="right"/>
              <w:ind w:right="141"/>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140"/>
              <w:spacing w:after="0"/>
              <w:rPr>
                <w:sz w:val="20"/>
                <w:szCs w:val="20"/>
                <w:color w:val="auto"/>
              </w:rPr>
            </w:pPr>
            <w:r>
              <w:rPr>
                <w:rFonts w:ascii="Arial" w:cs="Arial" w:eastAsia="Arial" w:hAnsi="Arial"/>
                <w:sz w:val="16"/>
                <w:szCs w:val="16"/>
                <w:color w:val="auto"/>
              </w:rPr>
              <w:t>3,178</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ind w:right="120"/>
              <w:spacing w:after="0"/>
              <w:rPr>
                <w:sz w:val="20"/>
                <w:szCs w:val="20"/>
                <w:color w:val="auto"/>
              </w:rPr>
            </w:pPr>
            <w:r>
              <w:rPr>
                <w:rFonts w:ascii="Arial" w:cs="Arial" w:eastAsia="Arial" w:hAnsi="Arial"/>
                <w:sz w:val="16"/>
                <w:szCs w:val="16"/>
                <w:color w:val="auto"/>
              </w:rPr>
              <w:t>4,737</w:t>
            </w:r>
          </w:p>
        </w:tc>
        <w:tc>
          <w:tcPr>
            <w:tcW w:w="100" w:type="dxa"/>
            <w:vAlign w:val="bottom"/>
          </w:tcPr>
          <w:p>
            <w:pPr>
              <w:spacing w:after="0"/>
              <w:rPr>
                <w:sz w:val="18"/>
                <w:szCs w:val="18"/>
                <w:color w:val="auto"/>
              </w:rPr>
            </w:pPr>
          </w:p>
        </w:tc>
        <w:tc>
          <w:tcPr>
            <w:tcW w:w="120" w:type="dxa"/>
            <w:vAlign w:val="bottom"/>
          </w:tcPr>
          <w:p>
            <w:pPr>
              <w:ind w:left="20"/>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(8,405)</w:t>
            </w:r>
          </w:p>
        </w:tc>
        <w:tc>
          <w:tcPr>
            <w:tcW w:w="100" w:type="dxa"/>
            <w:vAlign w:val="bottom"/>
          </w:tcPr>
          <w:p>
            <w:pPr>
              <w:spacing w:after="0"/>
              <w:rPr>
                <w:sz w:val="18"/>
                <w:szCs w:val="18"/>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120"/>
              <w:spacing w:after="0"/>
              <w:rPr>
                <w:sz w:val="20"/>
                <w:szCs w:val="20"/>
                <w:color w:val="auto"/>
              </w:rPr>
            </w:pPr>
            <w:r>
              <w:rPr>
                <w:rFonts w:ascii="Arial" w:cs="Arial" w:eastAsia="Arial" w:hAnsi="Arial"/>
                <w:sz w:val="16"/>
                <w:szCs w:val="16"/>
                <w:color w:val="auto"/>
              </w:rPr>
              <w:t>39,942</w:t>
            </w:r>
          </w:p>
        </w:tc>
        <w:tc>
          <w:tcPr>
            <w:tcW w:w="0" w:type="dxa"/>
            <w:vAlign w:val="bottom"/>
          </w:tcPr>
          <w:p>
            <w:pPr>
              <w:spacing w:after="0"/>
              <w:rPr>
                <w:sz w:val="1"/>
                <w:szCs w:val="1"/>
                <w:color w:val="auto"/>
              </w:rPr>
            </w:pPr>
          </w:p>
        </w:tc>
      </w:tr>
      <w:tr>
        <w:trPr>
          <w:trHeight w:val="217"/>
        </w:trPr>
        <w:tc>
          <w:tcPr>
            <w:tcW w:w="3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Restructuring Charges (1)</w:t>
            </w: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1,157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140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1,297</w:t>
            </w:r>
          </w:p>
        </w:tc>
        <w:tc>
          <w:tcPr>
            <w:tcW w:w="0" w:type="dxa"/>
            <w:vAlign w:val="bottom"/>
          </w:tcPr>
          <w:p>
            <w:pPr>
              <w:spacing w:after="0"/>
              <w:rPr>
                <w:sz w:val="1"/>
                <w:szCs w:val="1"/>
                <w:color w:val="auto"/>
              </w:rPr>
            </w:pPr>
          </w:p>
        </w:tc>
      </w:tr>
      <w:tr>
        <w:trPr>
          <w:trHeight w:val="215"/>
        </w:trPr>
        <w:tc>
          <w:tcPr>
            <w:tcW w:w="3540" w:type="dxa"/>
            <w:vAlign w:val="bottom"/>
          </w:tcPr>
          <w:p>
            <w:pPr>
              <w:ind w:left="20"/>
              <w:spacing w:after="0"/>
              <w:rPr>
                <w:sz w:val="20"/>
                <w:szCs w:val="20"/>
                <w:color w:val="auto"/>
              </w:rPr>
            </w:pPr>
            <w:r>
              <w:rPr>
                <w:rFonts w:ascii="Arial" w:cs="Arial" w:eastAsia="Arial" w:hAnsi="Arial"/>
                <w:sz w:val="14"/>
                <w:szCs w:val="14"/>
                <w:color w:val="auto"/>
              </w:rPr>
              <w:t>Acquisition Related Costs (2)</w:t>
            </w:r>
          </w:p>
        </w:tc>
        <w:tc>
          <w:tcPr>
            <w:tcW w:w="240" w:type="dxa"/>
            <w:vAlign w:val="bottom"/>
          </w:tcPr>
          <w:p>
            <w:pPr>
              <w:spacing w:after="0"/>
              <w:rPr>
                <w:sz w:val="18"/>
                <w:szCs w:val="18"/>
                <w:color w:val="auto"/>
              </w:rPr>
            </w:pPr>
          </w:p>
        </w:tc>
        <w:tc>
          <w:tcPr>
            <w:tcW w:w="1220" w:type="dxa"/>
            <w:vAlign w:val="bottom"/>
          </w:tcPr>
          <w:p>
            <w:pPr>
              <w:jc w:val="right"/>
              <w:ind w:right="120"/>
              <w:spacing w:after="0"/>
              <w:rPr>
                <w:sz w:val="20"/>
                <w:szCs w:val="20"/>
                <w:color w:val="auto"/>
              </w:rPr>
            </w:pPr>
            <w:r>
              <w:rPr>
                <w:rFonts w:ascii="Arial" w:cs="Arial" w:eastAsia="Arial" w:hAnsi="Arial"/>
                <w:sz w:val="16"/>
                <w:szCs w:val="16"/>
                <w:color w:val="auto"/>
              </w:rPr>
              <w:t>343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jc w:val="right"/>
              <w:ind w:right="80"/>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1,091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jc w:val="right"/>
              <w:ind w:right="120"/>
              <w:spacing w:after="0"/>
              <w:rPr>
                <w:sz w:val="20"/>
                <w:szCs w:val="20"/>
                <w:color w:val="auto"/>
              </w:rPr>
            </w:pPr>
            <w:r>
              <w:rPr>
                <w:rFonts w:ascii="Arial" w:cs="Arial" w:eastAsia="Arial" w:hAnsi="Arial"/>
                <w:sz w:val="16"/>
                <w:szCs w:val="16"/>
                <w:color w:val="auto"/>
              </w:rPr>
              <w:t>1,420</w:t>
            </w:r>
          </w:p>
        </w:tc>
        <w:tc>
          <w:tcPr>
            <w:tcW w:w="0" w:type="dxa"/>
            <w:vAlign w:val="bottom"/>
          </w:tcPr>
          <w:p>
            <w:pPr>
              <w:spacing w:after="0"/>
              <w:rPr>
                <w:sz w:val="1"/>
                <w:szCs w:val="1"/>
                <w:color w:val="auto"/>
              </w:rPr>
            </w:pPr>
          </w:p>
        </w:tc>
      </w:tr>
      <w:tr>
        <w:trPr>
          <w:trHeight w:val="235"/>
        </w:trPr>
        <w:tc>
          <w:tcPr>
            <w:tcW w:w="35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Adjusted Income from Operations</w:t>
            </w:r>
          </w:p>
        </w:tc>
        <w:tc>
          <w:tcPr>
            <w:tcW w:w="240" w:type="dxa"/>
            <w:vAlign w:val="bottom"/>
            <w:tcBorders>
              <w:top w:val="single" w:sz="8" w:color="auto"/>
              <w:bottom w:val="single" w:sz="8" w:color="auto"/>
            </w:tcBorders>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41,932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jc w:val="right"/>
              <w:ind w:right="141"/>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bottom w:val="single" w:sz="8" w:color="auto"/>
            </w:tcBorders>
            <w:shd w:val="clear" w:color="auto" w:fill="CCEEFF"/>
          </w:tcPr>
          <w:p>
            <w:pPr>
              <w:jc w:val="right"/>
              <w:ind w:right="140"/>
              <w:spacing w:after="0"/>
              <w:rPr>
                <w:sz w:val="20"/>
                <w:szCs w:val="20"/>
                <w:color w:val="auto"/>
              </w:rPr>
            </w:pPr>
            <w:r>
              <w:rPr>
                <w:rFonts w:ascii="Arial" w:cs="Arial" w:eastAsia="Arial" w:hAnsi="Arial"/>
                <w:sz w:val="16"/>
                <w:szCs w:val="16"/>
                <w:color w:val="auto"/>
              </w:rPr>
              <w:t>3,304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4,737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(7,314)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42,659</w:t>
            </w:r>
          </w:p>
        </w:tc>
        <w:tc>
          <w:tcPr>
            <w:tcW w:w="0" w:type="dxa"/>
            <w:vAlign w:val="bottom"/>
          </w:tcPr>
          <w:p>
            <w:pPr>
              <w:spacing w:after="0"/>
              <w:rPr>
                <w:sz w:val="1"/>
                <w:szCs w:val="1"/>
                <w:color w:val="auto"/>
              </w:rPr>
            </w:pPr>
          </w:p>
        </w:tc>
      </w:tr>
      <w:tr>
        <w:trPr>
          <w:trHeight w:val="20"/>
        </w:trPr>
        <w:tc>
          <w:tcPr>
            <w:tcW w:w="35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Sales</w:t>
            </w:r>
          </w:p>
        </w:tc>
        <w:tc>
          <w:tcPr>
            <w:tcW w:w="24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230,286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57,565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23,088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310,939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132320"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241" w:lineRule="exact"/>
        <w:rPr>
          <w:sz w:val="20"/>
          <w:szCs w:val="20"/>
          <w:color w:val="auto"/>
        </w:rPr>
      </w:pPr>
    </w:p>
    <w:p>
      <w:pPr>
        <w:ind w:left="240" w:hanging="214"/>
        <w:spacing w:after="0"/>
        <w:tabs>
          <w:tab w:leader="none" w:pos="240" w:val="left"/>
        </w:tabs>
        <w:numPr>
          <w:ilvl w:val="0"/>
          <w:numId w:val="11"/>
        </w:numPr>
        <w:rPr>
          <w:rFonts w:ascii="Arial" w:cs="Arial" w:eastAsia="Arial" w:hAnsi="Arial"/>
          <w:sz w:val="14"/>
          <w:szCs w:val="14"/>
          <w:color w:val="auto"/>
        </w:rPr>
      </w:pPr>
      <w:r>
        <w:rPr>
          <w:rFonts w:ascii="Arial" w:cs="Arial" w:eastAsia="Arial" w:hAnsi="Arial"/>
          <w:sz w:val="14"/>
          <w:szCs w:val="14"/>
          <w:color w:val="auto"/>
        </w:rPr>
        <w:t>Comprised primarily of exit activities costs</w:t>
      </w:r>
    </w:p>
    <w:p>
      <w:pPr>
        <w:spacing w:after="0" w:line="41" w:lineRule="exact"/>
        <w:rPr>
          <w:rFonts w:ascii="Arial" w:cs="Arial" w:eastAsia="Arial" w:hAnsi="Arial"/>
          <w:sz w:val="14"/>
          <w:szCs w:val="14"/>
          <w:color w:val="auto"/>
        </w:rPr>
      </w:pPr>
    </w:p>
    <w:p>
      <w:pPr>
        <w:ind w:left="240" w:hanging="214"/>
        <w:spacing w:after="0"/>
        <w:tabs>
          <w:tab w:leader="none" w:pos="240" w:val="left"/>
        </w:tabs>
        <w:numPr>
          <w:ilvl w:val="0"/>
          <w:numId w:val="11"/>
        </w:numPr>
        <w:rPr>
          <w:rFonts w:ascii="Arial" w:cs="Arial" w:eastAsia="Arial" w:hAnsi="Arial"/>
          <w:sz w:val="14"/>
          <w:szCs w:val="14"/>
          <w:color w:val="auto"/>
        </w:rPr>
      </w:pPr>
      <w:r>
        <w:rPr>
          <w:rFonts w:ascii="Arial" w:cs="Arial" w:eastAsia="Arial" w:hAnsi="Arial"/>
          <w:sz w:val="14"/>
          <w:szCs w:val="14"/>
          <w:color w:val="auto"/>
        </w:rPr>
        <w:t>Represents acquisition related expenses including due diligence and integration costs of recent business combinations</w:t>
      </w:r>
    </w:p>
    <w:p>
      <w:pPr>
        <w:spacing w:after="0" w:line="41" w:lineRule="exact"/>
        <w:rPr>
          <w:rFonts w:ascii="Arial" w:cs="Arial" w:eastAsia="Arial" w:hAnsi="Arial"/>
          <w:sz w:val="14"/>
          <w:szCs w:val="14"/>
          <w:color w:val="auto"/>
        </w:rPr>
      </w:pPr>
    </w:p>
    <w:p>
      <w:pPr>
        <w:ind w:left="240" w:hanging="214"/>
        <w:spacing w:after="0"/>
        <w:tabs>
          <w:tab w:leader="none" w:pos="240" w:val="left"/>
        </w:tabs>
        <w:numPr>
          <w:ilvl w:val="0"/>
          <w:numId w:val="11"/>
        </w:numPr>
        <w:rPr>
          <w:rFonts w:ascii="Arial" w:cs="Arial" w:eastAsia="Arial" w:hAnsi="Arial"/>
          <w:sz w:val="14"/>
          <w:szCs w:val="14"/>
          <w:color w:val="auto"/>
        </w:rPr>
      </w:pPr>
      <w:r>
        <w:rPr>
          <w:rFonts w:ascii="Arial" w:cs="Arial" w:eastAsia="Arial" w:hAnsi="Arial"/>
          <w:sz w:val="14"/>
          <w:szCs w:val="14"/>
          <w:color w:val="auto"/>
        </w:rPr>
        <w:t>Includes one-time gain of $2M from an acquisition-related item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-104140</wp:posOffset>
            </wp:positionV>
            <wp:extent cx="7132320" cy="1289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5205730</wp:posOffset>
            </wp:positionH>
            <wp:positionV relativeFrom="page">
              <wp:posOffset>243205</wp:posOffset>
            </wp:positionV>
            <wp:extent cx="2134235" cy="2743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clrChange>
                        <a:clrFrom>
                          <a:srgbClr val="FFFFFF"/>
                        </a:clrFrom>
                        <a:clrTo>
                          <a:srgbClr val="FFFFFF">
                            <a:alpha val="0"/>
                          </a:srgbClr>
                        </a:clrTo>
                      </a:clrChange>
                      <a:extLst>
                        <a:ext uri="{28A0092B-C50C-407E-A947-70E740481C1C}"/>
                      </a:extLst>
                    </a:blip>
                    <a:srcRect/>
                    <a:stretch>
                      <a:fillRect/>
                    </a:stretch>
                  </pic:blipFill>
                  <pic:spPr bwMode="auto">
                    <a:xfrm>
                      <a:off x="0" y="0"/>
                      <a:ext cx="2134235" cy="274320"/>
                    </a:xfrm>
                    <a:prstGeom prst="rect">
                      <a:avLst/>
                    </a:prstGeom>
                    <a:noFill/>
                  </pic:spPr>
                </pic:pic>
              </a:graphicData>
            </a:graphic>
          </wp:anchor>
        </w:drawing>
        <w:t>GIBRALTAR INDUSTRIES,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Reconciliation of GAAP and Adjusted Financial Measures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Nine Months Ended September 30, 2026</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4"/>
                <w:szCs w:val="14"/>
                <w:color w:val="auto"/>
              </w:rPr>
              <w:t>Net income from</w:t>
            </w: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3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20" w:type="dxa"/>
            <w:vAlign w:val="bottom"/>
            <w:gridSpan w:val="3"/>
            <w:vMerge w:val="restart"/>
          </w:tcPr>
          <w:p>
            <w:pPr>
              <w:jc w:val="center"/>
              <w:ind w:right="100"/>
              <w:spacing w:after="0"/>
              <w:rPr>
                <w:sz w:val="20"/>
                <w:szCs w:val="20"/>
                <w:color w:val="auto"/>
              </w:rPr>
            </w:pPr>
            <w:r>
              <w:rPr>
                <w:rFonts w:ascii="Arial" w:cs="Arial" w:eastAsia="Arial" w:hAnsi="Arial"/>
                <w:sz w:val="14"/>
                <w:szCs w:val="14"/>
                <w:color w:val="auto"/>
              </w:rPr>
              <w:t>Provision for income</w:t>
            </w:r>
          </w:p>
        </w:tc>
        <w:tc>
          <w:tcPr>
            <w:tcW w:w="160" w:type="dxa"/>
            <w:vAlign w:val="bottom"/>
          </w:tcPr>
          <w:p>
            <w:pPr>
              <w:spacing w:after="0"/>
              <w:rPr>
                <w:sz w:val="12"/>
                <w:szCs w:val="12"/>
                <w:color w:val="auto"/>
              </w:rPr>
            </w:pPr>
          </w:p>
        </w:tc>
        <w:tc>
          <w:tcPr>
            <w:tcW w:w="1420" w:type="dxa"/>
            <w:vAlign w:val="bottom"/>
            <w:gridSpan w:val="2"/>
            <w:vMerge w:val="restart"/>
          </w:tcPr>
          <w:p>
            <w:pPr>
              <w:jc w:val="center"/>
              <w:ind w:right="260"/>
              <w:spacing w:after="0"/>
              <w:rPr>
                <w:sz w:val="20"/>
                <w:szCs w:val="20"/>
                <w:color w:val="auto"/>
              </w:rPr>
            </w:pPr>
            <w:r>
              <w:rPr>
                <w:rFonts w:ascii="Arial" w:cs="Arial" w:eastAsia="Arial" w:hAnsi="Arial"/>
                <w:sz w:val="14"/>
                <w:szCs w:val="14"/>
                <w:color w:val="auto"/>
              </w:rPr>
              <w:t>Net income from</w:t>
            </w:r>
          </w:p>
        </w:tc>
        <w:tc>
          <w:tcPr>
            <w:tcW w:w="140" w:type="dxa"/>
            <w:vAlign w:val="bottom"/>
          </w:tcPr>
          <w:p>
            <w:pPr>
              <w:spacing w:after="0"/>
              <w:rPr>
                <w:sz w:val="12"/>
                <w:szCs w:val="12"/>
                <w:color w:val="auto"/>
              </w:rPr>
            </w:pPr>
          </w:p>
        </w:tc>
        <w:tc>
          <w:tcPr>
            <w:tcW w:w="1340" w:type="dxa"/>
            <w:vAlign w:val="bottom"/>
            <w:gridSpan w:val="2"/>
          </w:tcPr>
          <w:p>
            <w:pPr>
              <w:jc w:val="center"/>
              <w:ind w:right="240"/>
              <w:spacing w:after="0" w:line="145" w:lineRule="exact"/>
              <w:rPr>
                <w:sz w:val="20"/>
                <w:szCs w:val="20"/>
                <w:color w:val="auto"/>
              </w:rPr>
            </w:pPr>
            <w:r>
              <w:rPr>
                <w:rFonts w:ascii="Arial" w:cs="Arial" w:eastAsia="Arial" w:hAnsi="Arial"/>
                <w:sz w:val="14"/>
                <w:szCs w:val="14"/>
                <w:color w:val="auto"/>
              </w:rPr>
              <w:t>continuing</w:t>
            </w:r>
          </w:p>
        </w:tc>
        <w:tc>
          <w:tcPr>
            <w:tcW w:w="2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500" w:type="dxa"/>
            <w:vAlign w:val="bottom"/>
          </w:tcPr>
          <w:p>
            <w:pPr>
              <w:spacing w:after="0"/>
              <w:rPr>
                <w:sz w:val="12"/>
                <w:szCs w:val="12"/>
                <w:color w:val="auto"/>
              </w:rPr>
            </w:pPr>
          </w:p>
        </w:tc>
        <w:tc>
          <w:tcPr>
            <w:tcW w:w="1580" w:type="dxa"/>
            <w:vAlign w:val="bottom"/>
            <w:gridSpan w:val="3"/>
            <w:vMerge w:val="restart"/>
          </w:tcPr>
          <w:p>
            <w:pPr>
              <w:jc w:val="center"/>
              <w:ind w:right="80"/>
              <w:spacing w:after="0"/>
              <w:rPr>
                <w:sz w:val="20"/>
                <w:szCs w:val="20"/>
                <w:color w:val="auto"/>
              </w:rPr>
            </w:pPr>
            <w:r>
              <w:rPr>
                <w:rFonts w:ascii="Arial" w:cs="Arial" w:eastAsia="Arial" w:hAnsi="Arial"/>
                <w:sz w:val="14"/>
                <w:szCs w:val="14"/>
                <w:color w:val="auto"/>
              </w:rPr>
              <w:t>Income before taxes</w:t>
            </w:r>
          </w:p>
        </w:tc>
        <w:tc>
          <w:tcPr>
            <w:tcW w:w="162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1480" w:type="dxa"/>
            <w:vAlign w:val="bottom"/>
            <w:gridSpan w:val="3"/>
          </w:tcPr>
          <w:p>
            <w:pPr>
              <w:ind w:left="40"/>
              <w:spacing w:after="0" w:line="149" w:lineRule="exact"/>
              <w:rPr>
                <w:sz w:val="20"/>
                <w:szCs w:val="20"/>
                <w:color w:val="auto"/>
              </w:rPr>
            </w:pPr>
            <w:r>
              <w:rPr>
                <w:rFonts w:ascii="Arial" w:cs="Arial" w:eastAsia="Arial" w:hAnsi="Arial"/>
                <w:sz w:val="14"/>
                <w:szCs w:val="14"/>
                <w:color w:val="auto"/>
              </w:rPr>
              <w:t>operations per share</w:t>
            </w:r>
          </w:p>
        </w:tc>
        <w:tc>
          <w:tcPr>
            <w:tcW w:w="2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3500" w:type="dxa"/>
            <w:vAlign w:val="bottom"/>
          </w:tcPr>
          <w:p>
            <w:pPr>
              <w:spacing w:after="0"/>
              <w:rPr>
                <w:sz w:val="16"/>
                <w:szCs w:val="16"/>
                <w:color w:val="auto"/>
              </w:rPr>
            </w:pPr>
          </w:p>
        </w:tc>
        <w:tc>
          <w:tcPr>
            <w:tcW w:w="1580" w:type="dxa"/>
            <w:vAlign w:val="bottom"/>
            <w:gridSpan w:val="3"/>
            <w:vMerge w:val="continue"/>
          </w:tcPr>
          <w:p>
            <w:pPr>
              <w:spacing w:after="0"/>
              <w:rPr>
                <w:sz w:val="16"/>
                <w:szCs w:val="16"/>
                <w:color w:val="auto"/>
              </w:rPr>
            </w:pPr>
          </w:p>
        </w:tc>
        <w:tc>
          <w:tcPr>
            <w:tcW w:w="320" w:type="dxa"/>
            <w:vAlign w:val="bottom"/>
          </w:tcPr>
          <w:p>
            <w:pPr>
              <w:spacing w:after="0"/>
              <w:rPr>
                <w:sz w:val="16"/>
                <w:szCs w:val="16"/>
                <w:color w:val="auto"/>
              </w:rPr>
            </w:pPr>
          </w:p>
        </w:tc>
        <w:tc>
          <w:tcPr>
            <w:tcW w:w="1300" w:type="dxa"/>
            <w:vAlign w:val="bottom"/>
            <w:gridSpan w:val="2"/>
          </w:tcPr>
          <w:p>
            <w:pPr>
              <w:jc w:val="center"/>
              <w:ind w:right="420"/>
              <w:spacing w:after="0"/>
              <w:rPr>
                <w:sz w:val="20"/>
                <w:szCs w:val="20"/>
                <w:color w:val="auto"/>
              </w:rPr>
            </w:pPr>
            <w:r>
              <w:rPr>
                <w:rFonts w:ascii="Arial" w:cs="Arial" w:eastAsia="Arial" w:hAnsi="Arial"/>
                <w:sz w:val="14"/>
                <w:szCs w:val="14"/>
                <w:color w:val="auto"/>
              </w:rPr>
              <w:t>taxes</w:t>
            </w:r>
          </w:p>
        </w:tc>
        <w:tc>
          <w:tcPr>
            <w:tcW w:w="1580" w:type="dxa"/>
            <w:vAlign w:val="bottom"/>
            <w:gridSpan w:val="3"/>
          </w:tcPr>
          <w:p>
            <w:pPr>
              <w:jc w:val="center"/>
              <w:ind w:right="100"/>
              <w:spacing w:after="0"/>
              <w:rPr>
                <w:sz w:val="20"/>
                <w:szCs w:val="20"/>
                <w:color w:val="auto"/>
              </w:rPr>
            </w:pPr>
            <w:r>
              <w:rPr>
                <w:rFonts w:ascii="Arial" w:cs="Arial" w:eastAsia="Arial" w:hAnsi="Arial"/>
                <w:sz w:val="14"/>
                <w:szCs w:val="14"/>
                <w:color w:val="auto"/>
              </w:rPr>
              <w:t>continuing operations</w:t>
            </w:r>
          </w:p>
        </w:tc>
        <w:tc>
          <w:tcPr>
            <w:tcW w:w="140" w:type="dxa"/>
            <w:vAlign w:val="bottom"/>
          </w:tcPr>
          <w:p>
            <w:pPr>
              <w:spacing w:after="0"/>
              <w:rPr>
                <w:sz w:val="16"/>
                <w:szCs w:val="16"/>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4"/>
                <w:szCs w:val="14"/>
                <w:color w:val="auto"/>
              </w:rPr>
              <w:t>- diluted</w:t>
            </w:r>
          </w:p>
        </w:tc>
        <w:tc>
          <w:tcPr>
            <w:tcW w:w="2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35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As Reported in GAAP Statements</w:t>
            </w:r>
          </w:p>
        </w:tc>
        <w:tc>
          <w:tcPr>
            <w:tcW w:w="260" w:type="dxa"/>
            <w:vAlign w:val="bottom"/>
            <w:tcBorders>
              <w:top w:val="single" w:sz="8" w:color="auto"/>
            </w:tcBorders>
            <w:shd w:val="clear" w:color="auto" w:fill="CCEEFF"/>
          </w:tcPr>
          <w:p>
            <w:pPr>
              <w:jc w:val="right"/>
              <w:ind w:right="61"/>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51,754</w:t>
            </w: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tcBorders>
            <w:shd w:val="clear" w:color="auto" w:fill="CCEEFF"/>
          </w:tcPr>
          <w:p>
            <w:pPr>
              <w:jc w:val="right"/>
              <w:ind w:right="140"/>
              <w:spacing w:after="0"/>
              <w:rPr>
                <w:sz w:val="20"/>
                <w:szCs w:val="20"/>
                <w:color w:val="auto"/>
              </w:rPr>
            </w:pPr>
            <w:r>
              <w:rPr>
                <w:rFonts w:ascii="Arial" w:cs="Arial" w:eastAsia="Arial" w:hAnsi="Arial"/>
                <w:sz w:val="16"/>
                <w:szCs w:val="16"/>
                <w:color w:val="auto"/>
              </w:rPr>
              <w:t>15,847</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35,907</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1.20</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500" w:type="dxa"/>
            <w:vAlign w:val="bottom"/>
          </w:tcPr>
          <w:p>
            <w:pPr>
              <w:ind w:left="20"/>
              <w:spacing w:after="0"/>
              <w:rPr>
                <w:sz w:val="20"/>
                <w:szCs w:val="20"/>
                <w:color w:val="auto"/>
              </w:rPr>
            </w:pPr>
            <w:r>
              <w:rPr>
                <w:rFonts w:ascii="Arial" w:cs="Arial" w:eastAsia="Arial" w:hAnsi="Arial"/>
                <w:sz w:val="14"/>
                <w:szCs w:val="14"/>
                <w:color w:val="auto"/>
              </w:rPr>
              <w:t>Restructuring Charges (1)</w:t>
            </w:r>
          </w:p>
        </w:tc>
        <w:tc>
          <w:tcPr>
            <w:tcW w:w="260" w:type="dxa"/>
            <w:vAlign w:val="bottom"/>
          </w:tcPr>
          <w:p>
            <w:pPr>
              <w:spacing w:after="0"/>
              <w:rPr>
                <w:sz w:val="18"/>
                <w:szCs w:val="18"/>
                <w:color w:val="auto"/>
              </w:rPr>
            </w:pPr>
          </w:p>
        </w:tc>
        <w:tc>
          <w:tcPr>
            <w:tcW w:w="1220" w:type="dxa"/>
            <w:vAlign w:val="bottom"/>
          </w:tcPr>
          <w:p>
            <w:pPr>
              <w:jc w:val="right"/>
              <w:ind w:right="120"/>
              <w:spacing w:after="0"/>
              <w:rPr>
                <w:sz w:val="20"/>
                <w:szCs w:val="20"/>
                <w:color w:val="auto"/>
              </w:rPr>
            </w:pPr>
            <w:r>
              <w:rPr>
                <w:rFonts w:ascii="Arial" w:cs="Arial" w:eastAsia="Arial" w:hAnsi="Arial"/>
                <w:sz w:val="16"/>
                <w:szCs w:val="16"/>
                <w:color w:val="auto"/>
              </w:rPr>
              <w:t>6,662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jc w:val="right"/>
              <w:ind w:right="140"/>
              <w:spacing w:after="0"/>
              <w:rPr>
                <w:sz w:val="20"/>
                <w:szCs w:val="20"/>
                <w:color w:val="auto"/>
              </w:rPr>
            </w:pPr>
            <w:r>
              <w:rPr>
                <w:rFonts w:ascii="Arial" w:cs="Arial" w:eastAsia="Arial" w:hAnsi="Arial"/>
                <w:sz w:val="16"/>
                <w:szCs w:val="16"/>
                <w:color w:val="auto"/>
              </w:rPr>
              <w:t>1,831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ind w:right="120"/>
              <w:spacing w:after="0"/>
              <w:rPr>
                <w:sz w:val="20"/>
                <w:szCs w:val="20"/>
                <w:color w:val="auto"/>
              </w:rPr>
            </w:pPr>
            <w:r>
              <w:rPr>
                <w:rFonts w:ascii="Arial" w:cs="Arial" w:eastAsia="Arial" w:hAnsi="Arial"/>
                <w:sz w:val="16"/>
                <w:szCs w:val="16"/>
                <w:color w:val="auto"/>
              </w:rPr>
              <w:t>4,831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ind w:right="1"/>
              <w:spacing w:after="0"/>
              <w:rPr>
                <w:sz w:val="20"/>
                <w:szCs w:val="20"/>
                <w:color w:val="auto"/>
              </w:rPr>
            </w:pPr>
            <w:r>
              <w:rPr>
                <w:rFonts w:ascii="Arial" w:cs="Arial" w:eastAsia="Arial" w:hAnsi="Arial"/>
                <w:sz w:val="16"/>
                <w:szCs w:val="16"/>
                <w:color w:val="auto"/>
              </w:rPr>
              <w:t>0.16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Acquisition Related Costs (2)</w:t>
            </w:r>
          </w:p>
        </w:tc>
        <w:tc>
          <w:tcPr>
            <w:tcW w:w="2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44,319</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6"/>
                <w:szCs w:val="16"/>
                <w:color w:val="auto"/>
              </w:rPr>
              <w:t>8,445</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35,874</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1.21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500" w:type="dxa"/>
            <w:vAlign w:val="bottom"/>
          </w:tcPr>
          <w:p>
            <w:pPr>
              <w:ind w:left="20"/>
              <w:spacing w:after="0"/>
              <w:rPr>
                <w:sz w:val="20"/>
                <w:szCs w:val="20"/>
                <w:color w:val="auto"/>
              </w:rPr>
            </w:pPr>
            <w:r>
              <w:rPr>
                <w:rFonts w:ascii="Arial" w:cs="Arial" w:eastAsia="Arial" w:hAnsi="Arial"/>
                <w:sz w:val="14"/>
                <w:szCs w:val="14"/>
                <w:color w:val="auto"/>
              </w:rPr>
              <w:t>Adjusted Financial Measures</w:t>
            </w:r>
          </w:p>
        </w:tc>
        <w:tc>
          <w:tcPr>
            <w:tcW w:w="26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102,735</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26,123</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76,612</w:t>
            </w:r>
          </w:p>
        </w:tc>
        <w:tc>
          <w:tcPr>
            <w:tcW w:w="100" w:type="dxa"/>
            <w:vAlign w:val="bottom"/>
          </w:tcPr>
          <w:p>
            <w:pPr>
              <w:spacing w:after="0"/>
              <w:rPr>
                <w:sz w:val="18"/>
                <w:szCs w:val="18"/>
                <w:color w:val="auto"/>
              </w:rPr>
            </w:pPr>
          </w:p>
        </w:tc>
        <w:tc>
          <w:tcPr>
            <w:tcW w:w="1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2.57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5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5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4"/>
                <w:szCs w:val="14"/>
                <w:color w:val="auto"/>
              </w:rPr>
              <w:t>Residential</w:t>
            </w:r>
          </w:p>
        </w:tc>
        <w:tc>
          <w:tcPr>
            <w:tcW w:w="320" w:type="dxa"/>
            <w:vAlign w:val="bottom"/>
          </w:tcPr>
          <w:p>
            <w:pPr>
              <w:spacing w:after="0"/>
              <w:rPr>
                <w:sz w:val="17"/>
                <w:szCs w:val="17"/>
                <w:color w:val="auto"/>
              </w:rPr>
            </w:pPr>
          </w:p>
        </w:tc>
        <w:tc>
          <w:tcPr>
            <w:tcW w:w="1300" w:type="dxa"/>
            <w:vAlign w:val="bottom"/>
            <w:gridSpan w:val="2"/>
          </w:tcPr>
          <w:p>
            <w:pPr>
              <w:jc w:val="center"/>
              <w:ind w:right="420"/>
              <w:spacing w:after="0"/>
              <w:rPr>
                <w:sz w:val="20"/>
                <w:szCs w:val="20"/>
                <w:color w:val="auto"/>
              </w:rPr>
            </w:pPr>
            <w:r>
              <w:rPr>
                <w:rFonts w:ascii="Arial" w:cs="Arial" w:eastAsia="Arial" w:hAnsi="Arial"/>
                <w:sz w:val="14"/>
                <w:szCs w:val="14"/>
                <w:color w:val="auto"/>
              </w:rPr>
              <w:t>Agtech</w:t>
            </w:r>
          </w:p>
        </w:tc>
        <w:tc>
          <w:tcPr>
            <w:tcW w:w="160" w:type="dxa"/>
            <w:vAlign w:val="bottom"/>
          </w:tcPr>
          <w:p>
            <w:pPr>
              <w:spacing w:after="0"/>
              <w:rPr>
                <w:sz w:val="17"/>
                <w:szCs w:val="17"/>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4"/>
                <w:szCs w:val="14"/>
                <w:color w:val="auto"/>
              </w:rPr>
              <w:t>Infrastructure</w:t>
            </w:r>
          </w:p>
        </w:tc>
        <w:tc>
          <w:tcPr>
            <w:tcW w:w="140" w:type="dxa"/>
            <w:vAlign w:val="bottom"/>
          </w:tcPr>
          <w:p>
            <w:pPr>
              <w:spacing w:after="0"/>
              <w:rPr>
                <w:sz w:val="17"/>
                <w:szCs w:val="17"/>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4"/>
                <w:szCs w:val="14"/>
                <w:color w:val="auto"/>
              </w:rPr>
              <w:t>Corporate</w:t>
            </w:r>
          </w:p>
        </w:tc>
        <w:tc>
          <w:tcPr>
            <w:tcW w:w="220" w:type="dxa"/>
            <w:vAlign w:val="bottom"/>
          </w:tcPr>
          <w:p>
            <w:pPr>
              <w:spacing w:after="0"/>
              <w:rPr>
                <w:sz w:val="17"/>
                <w:szCs w:val="17"/>
                <w:color w:val="auto"/>
              </w:rPr>
            </w:pPr>
          </w:p>
        </w:tc>
        <w:tc>
          <w:tcPr>
            <w:tcW w:w="1260" w:type="dxa"/>
            <w:vAlign w:val="bottom"/>
          </w:tcPr>
          <w:p>
            <w:pPr>
              <w:jc w:val="right"/>
              <w:ind w:right="240"/>
              <w:spacing w:after="0"/>
              <w:rPr>
                <w:sz w:val="20"/>
                <w:szCs w:val="20"/>
                <w:color w:val="auto"/>
              </w:rPr>
            </w:pPr>
            <w:r>
              <w:rPr>
                <w:rFonts w:ascii="Arial" w:cs="Arial" w:eastAsia="Arial" w:hAnsi="Arial"/>
                <w:sz w:val="14"/>
                <w:szCs w:val="14"/>
                <w:color w:val="auto"/>
              </w:rPr>
              <w:t>Consolidated</w:t>
            </w:r>
          </w:p>
        </w:tc>
        <w:tc>
          <w:tcPr>
            <w:tcW w:w="0" w:type="dxa"/>
            <w:vAlign w:val="bottom"/>
          </w:tcPr>
          <w:p>
            <w:pPr>
              <w:spacing w:after="0"/>
              <w:rPr>
                <w:sz w:val="1"/>
                <w:szCs w:val="1"/>
                <w:color w:val="auto"/>
              </w:rPr>
            </w:pPr>
          </w:p>
        </w:tc>
      </w:tr>
      <w:tr>
        <w:trPr>
          <w:trHeight w:val="213"/>
        </w:trPr>
        <w:tc>
          <w:tcPr>
            <w:tcW w:w="35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Operating Margin</w:t>
            </w:r>
          </w:p>
        </w:tc>
        <w:tc>
          <w:tcPr>
            <w:tcW w:w="26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11.8 %</w:t>
            </w: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8.3 %</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21.0 %</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n/a</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7.8 %</w:t>
            </w:r>
          </w:p>
        </w:tc>
        <w:tc>
          <w:tcPr>
            <w:tcW w:w="0" w:type="dxa"/>
            <w:vAlign w:val="bottom"/>
          </w:tcPr>
          <w:p>
            <w:pPr>
              <w:spacing w:after="0"/>
              <w:rPr>
                <w:sz w:val="1"/>
                <w:szCs w:val="1"/>
                <w:color w:val="auto"/>
              </w:rPr>
            </w:pPr>
          </w:p>
        </w:tc>
      </w:tr>
      <w:tr>
        <w:trPr>
          <w:trHeight w:val="215"/>
        </w:trPr>
        <w:tc>
          <w:tcPr>
            <w:tcW w:w="3500" w:type="dxa"/>
            <w:vAlign w:val="bottom"/>
          </w:tcPr>
          <w:p>
            <w:pPr>
              <w:ind w:left="20"/>
              <w:spacing w:after="0"/>
              <w:rPr>
                <w:sz w:val="20"/>
                <w:szCs w:val="20"/>
                <w:color w:val="auto"/>
              </w:rPr>
            </w:pPr>
            <w:r>
              <w:rPr>
                <w:rFonts w:ascii="Arial" w:cs="Arial" w:eastAsia="Arial" w:hAnsi="Arial"/>
                <w:sz w:val="14"/>
                <w:szCs w:val="14"/>
                <w:color w:val="auto"/>
              </w:rPr>
              <w:t>Restructuring Charges (1)</w:t>
            </w:r>
          </w:p>
        </w:tc>
        <w:tc>
          <w:tcPr>
            <w:tcW w:w="2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0.5 %</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0.4 %</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ind w:left="960"/>
              <w:spacing w:after="0"/>
              <w:rPr>
                <w:sz w:val="20"/>
                <w:szCs w:val="20"/>
                <w:color w:val="auto"/>
              </w:rPr>
            </w:pPr>
            <w:r>
              <w:rPr>
                <w:rFonts w:ascii="Arial" w:cs="Arial" w:eastAsia="Arial" w:hAnsi="Arial"/>
                <w:sz w:val="16"/>
                <w:szCs w:val="16"/>
                <w:color w:val="auto"/>
              </w:rPr>
              <w:t>— %</w:t>
            </w:r>
          </w:p>
        </w:tc>
        <w:tc>
          <w:tcPr>
            <w:tcW w:w="14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6"/>
                <w:szCs w:val="16"/>
                <w:color w:val="auto"/>
              </w:rPr>
              <w:t>n/a</w:t>
            </w: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0.5 %</w:t>
            </w:r>
          </w:p>
        </w:tc>
        <w:tc>
          <w:tcPr>
            <w:tcW w:w="0" w:type="dxa"/>
            <w:vAlign w:val="bottom"/>
          </w:tcPr>
          <w:p>
            <w:pPr>
              <w:spacing w:after="0"/>
              <w:rPr>
                <w:sz w:val="1"/>
                <w:szCs w:val="1"/>
                <w:color w:val="auto"/>
              </w:rPr>
            </w:pPr>
          </w:p>
        </w:tc>
      </w:tr>
      <w:tr>
        <w:trPr>
          <w:trHeight w:val="217"/>
        </w:trPr>
        <w:tc>
          <w:tcPr>
            <w:tcW w:w="35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Acquisition Related Costs (2)</w:t>
            </w: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1.3 %</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0.1 %</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ind w:left="960"/>
              <w:spacing w:after="0"/>
              <w:rPr>
                <w:sz w:val="20"/>
                <w:szCs w:val="20"/>
                <w:color w:val="auto"/>
              </w:rPr>
            </w:pPr>
            <w:r>
              <w:rPr>
                <w:rFonts w:ascii="Arial" w:cs="Arial" w:eastAsia="Arial" w:hAnsi="Arial"/>
                <w:sz w:val="16"/>
                <w:szCs w:val="16"/>
                <w:color w:val="auto"/>
              </w:rPr>
              <w:t>— %</w:t>
            </w: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n/a</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3.2 %</w:t>
            </w:r>
          </w:p>
        </w:tc>
        <w:tc>
          <w:tcPr>
            <w:tcW w:w="0" w:type="dxa"/>
            <w:vAlign w:val="bottom"/>
          </w:tcPr>
          <w:p>
            <w:pPr>
              <w:spacing w:after="0"/>
              <w:rPr>
                <w:sz w:val="1"/>
                <w:szCs w:val="1"/>
                <w:color w:val="auto"/>
              </w:rPr>
            </w:pPr>
          </w:p>
        </w:tc>
      </w:tr>
      <w:tr>
        <w:trPr>
          <w:trHeight w:val="210"/>
        </w:trPr>
        <w:tc>
          <w:tcPr>
            <w:tcW w:w="3500" w:type="dxa"/>
            <w:vAlign w:val="bottom"/>
          </w:tcPr>
          <w:p>
            <w:pPr>
              <w:ind w:left="20"/>
              <w:spacing w:after="0"/>
              <w:rPr>
                <w:sz w:val="20"/>
                <w:szCs w:val="20"/>
                <w:color w:val="auto"/>
              </w:rPr>
            </w:pPr>
            <w:r>
              <w:rPr>
                <w:rFonts w:ascii="Arial" w:cs="Arial" w:eastAsia="Arial" w:hAnsi="Arial"/>
                <w:sz w:val="14"/>
                <w:szCs w:val="14"/>
                <w:color w:val="auto"/>
              </w:rPr>
              <w:t>Adjusted Operating Margin</w:t>
            </w:r>
          </w:p>
        </w:tc>
        <w:tc>
          <w:tcPr>
            <w:tcW w:w="26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13.6 %</w:t>
            </w:r>
          </w:p>
        </w:tc>
        <w:tc>
          <w:tcPr>
            <w:tcW w:w="100" w:type="dxa"/>
            <w:vAlign w:val="bottom"/>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8.8 %</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21.0 %</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n/a</w:t>
            </w: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11.6 %</w:t>
            </w:r>
          </w:p>
        </w:tc>
        <w:tc>
          <w:tcPr>
            <w:tcW w:w="0" w:type="dxa"/>
            <w:vAlign w:val="bottom"/>
          </w:tcPr>
          <w:p>
            <w:pPr>
              <w:spacing w:after="0"/>
              <w:rPr>
                <w:sz w:val="1"/>
                <w:szCs w:val="1"/>
                <w:color w:val="auto"/>
              </w:rPr>
            </w:pPr>
          </w:p>
        </w:tc>
      </w:tr>
      <w:tr>
        <w:trPr>
          <w:trHeight w:val="20"/>
        </w:trPr>
        <w:tc>
          <w:tcPr>
            <w:tcW w:w="35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5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3500" w:type="dxa"/>
            <w:vAlign w:val="bottom"/>
          </w:tcPr>
          <w:p>
            <w:pPr>
              <w:ind w:left="20"/>
              <w:spacing w:after="0"/>
              <w:rPr>
                <w:sz w:val="20"/>
                <w:szCs w:val="20"/>
                <w:color w:val="auto"/>
              </w:rPr>
            </w:pPr>
            <w:r>
              <w:rPr>
                <w:rFonts w:ascii="Arial" w:cs="Arial" w:eastAsia="Arial" w:hAnsi="Arial"/>
                <w:sz w:val="14"/>
                <w:szCs w:val="14"/>
                <w:color w:val="auto"/>
              </w:rPr>
              <w:t>Income from Operations</w:t>
            </w:r>
          </w:p>
        </w:tc>
        <w:tc>
          <w:tcPr>
            <w:tcW w:w="26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120"/>
              <w:spacing w:after="0"/>
              <w:rPr>
                <w:sz w:val="20"/>
                <w:szCs w:val="20"/>
                <w:color w:val="auto"/>
              </w:rPr>
            </w:pPr>
            <w:r>
              <w:rPr>
                <w:rFonts w:ascii="Arial" w:cs="Arial" w:eastAsia="Arial" w:hAnsi="Arial"/>
                <w:sz w:val="16"/>
                <w:szCs w:val="16"/>
                <w:color w:val="auto"/>
              </w:rPr>
              <w:t>130,077</w:t>
            </w:r>
          </w:p>
        </w:tc>
        <w:tc>
          <w:tcPr>
            <w:tcW w:w="100" w:type="dxa"/>
            <w:vAlign w:val="bottom"/>
          </w:tcPr>
          <w:p>
            <w:pPr>
              <w:spacing w:after="0"/>
              <w:rPr>
                <w:sz w:val="18"/>
                <w:szCs w:val="18"/>
                <w:color w:val="auto"/>
              </w:rPr>
            </w:pPr>
          </w:p>
        </w:tc>
        <w:tc>
          <w:tcPr>
            <w:tcW w:w="320" w:type="dxa"/>
            <w:vAlign w:val="bottom"/>
          </w:tcPr>
          <w:p>
            <w:pPr>
              <w:jc w:val="right"/>
              <w:ind w:right="121"/>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40"/>
              <w:spacing w:after="0"/>
              <w:rPr>
                <w:sz w:val="20"/>
                <w:szCs w:val="20"/>
                <w:color w:val="auto"/>
              </w:rPr>
            </w:pPr>
            <w:r>
              <w:rPr>
                <w:rFonts w:ascii="Arial" w:cs="Arial" w:eastAsia="Arial" w:hAnsi="Arial"/>
                <w:sz w:val="16"/>
                <w:szCs w:val="16"/>
                <w:color w:val="auto"/>
              </w:rPr>
              <w:t>14,386</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ind w:right="120"/>
              <w:spacing w:after="0"/>
              <w:rPr>
                <w:sz w:val="20"/>
                <w:szCs w:val="20"/>
                <w:color w:val="auto"/>
              </w:rPr>
            </w:pPr>
            <w:r>
              <w:rPr>
                <w:rFonts w:ascii="Arial" w:cs="Arial" w:eastAsia="Arial" w:hAnsi="Arial"/>
                <w:sz w:val="16"/>
                <w:szCs w:val="16"/>
                <w:color w:val="auto"/>
              </w:rPr>
              <w:t>13,743</w:t>
            </w:r>
          </w:p>
        </w:tc>
        <w:tc>
          <w:tcPr>
            <w:tcW w:w="100" w:type="dxa"/>
            <w:vAlign w:val="bottom"/>
          </w:tcPr>
          <w:p>
            <w:pPr>
              <w:spacing w:after="0"/>
              <w:rPr>
                <w:sz w:val="18"/>
                <w:szCs w:val="18"/>
                <w:color w:val="auto"/>
              </w:rPr>
            </w:pPr>
          </w:p>
        </w:tc>
        <w:tc>
          <w:tcPr>
            <w:tcW w:w="140" w:type="dxa"/>
            <w:vAlign w:val="bottom"/>
          </w:tcPr>
          <w:p>
            <w:pPr>
              <w:ind w:left="20"/>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(53,581)</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ind w:right="120"/>
              <w:spacing w:after="0"/>
              <w:rPr>
                <w:sz w:val="20"/>
                <w:szCs w:val="20"/>
                <w:color w:val="auto"/>
              </w:rPr>
            </w:pPr>
            <w:r>
              <w:rPr>
                <w:rFonts w:ascii="Arial" w:cs="Arial" w:eastAsia="Arial" w:hAnsi="Arial"/>
                <w:sz w:val="16"/>
                <w:szCs w:val="16"/>
                <w:color w:val="auto"/>
              </w:rPr>
              <w:t>104,625</w:t>
            </w:r>
          </w:p>
        </w:tc>
        <w:tc>
          <w:tcPr>
            <w:tcW w:w="0" w:type="dxa"/>
            <w:vAlign w:val="bottom"/>
          </w:tcPr>
          <w:p>
            <w:pPr>
              <w:spacing w:after="0"/>
              <w:rPr>
                <w:sz w:val="1"/>
                <w:szCs w:val="1"/>
                <w:color w:val="auto"/>
              </w:rPr>
            </w:pPr>
          </w:p>
        </w:tc>
      </w:tr>
      <w:tr>
        <w:trPr>
          <w:trHeight w:val="217"/>
        </w:trPr>
        <w:tc>
          <w:tcPr>
            <w:tcW w:w="350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Restructuring Charges (1)</w:t>
            </w: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5,599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782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281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6,662</w:t>
            </w:r>
          </w:p>
        </w:tc>
        <w:tc>
          <w:tcPr>
            <w:tcW w:w="0" w:type="dxa"/>
            <w:vAlign w:val="bottom"/>
          </w:tcPr>
          <w:p>
            <w:pPr>
              <w:spacing w:after="0"/>
              <w:rPr>
                <w:sz w:val="1"/>
                <w:szCs w:val="1"/>
                <w:color w:val="auto"/>
              </w:rPr>
            </w:pPr>
          </w:p>
        </w:tc>
      </w:tr>
      <w:tr>
        <w:trPr>
          <w:trHeight w:val="215"/>
        </w:trPr>
        <w:tc>
          <w:tcPr>
            <w:tcW w:w="3500" w:type="dxa"/>
            <w:vAlign w:val="bottom"/>
          </w:tcPr>
          <w:p>
            <w:pPr>
              <w:ind w:left="20"/>
              <w:spacing w:after="0"/>
              <w:rPr>
                <w:sz w:val="20"/>
                <w:szCs w:val="20"/>
                <w:color w:val="auto"/>
              </w:rPr>
            </w:pPr>
            <w:r>
              <w:rPr>
                <w:rFonts w:ascii="Arial" w:cs="Arial" w:eastAsia="Arial" w:hAnsi="Arial"/>
                <w:sz w:val="14"/>
                <w:szCs w:val="14"/>
                <w:color w:val="auto"/>
              </w:rPr>
              <w:t>Acquisition Related Costs (2)</w:t>
            </w:r>
          </w:p>
        </w:tc>
        <w:tc>
          <w:tcPr>
            <w:tcW w:w="260" w:type="dxa"/>
            <w:vAlign w:val="bottom"/>
          </w:tcPr>
          <w:p>
            <w:pPr>
              <w:spacing w:after="0"/>
              <w:rPr>
                <w:sz w:val="18"/>
                <w:szCs w:val="18"/>
                <w:color w:val="auto"/>
              </w:rPr>
            </w:pPr>
          </w:p>
        </w:tc>
        <w:tc>
          <w:tcPr>
            <w:tcW w:w="1220" w:type="dxa"/>
            <w:vAlign w:val="bottom"/>
          </w:tcPr>
          <w:p>
            <w:pPr>
              <w:jc w:val="right"/>
              <w:ind w:right="120"/>
              <w:spacing w:after="0"/>
              <w:rPr>
                <w:sz w:val="20"/>
                <w:szCs w:val="20"/>
                <w:color w:val="auto"/>
              </w:rPr>
            </w:pPr>
            <w:r>
              <w:rPr>
                <w:rFonts w:ascii="Arial" w:cs="Arial" w:eastAsia="Arial" w:hAnsi="Arial"/>
                <w:sz w:val="16"/>
                <w:szCs w:val="16"/>
                <w:color w:val="auto"/>
              </w:rPr>
              <w:t>14,513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jc w:val="right"/>
              <w:ind w:right="140"/>
              <w:spacing w:after="0"/>
              <w:rPr>
                <w:sz w:val="20"/>
                <w:szCs w:val="20"/>
                <w:color w:val="auto"/>
              </w:rPr>
            </w:pPr>
            <w:r>
              <w:rPr>
                <w:rFonts w:ascii="Arial" w:cs="Arial" w:eastAsia="Arial" w:hAnsi="Arial"/>
                <w:sz w:val="16"/>
                <w:szCs w:val="16"/>
                <w:color w:val="auto"/>
              </w:rPr>
              <w:t>149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40" w:type="dxa"/>
            <w:vAlign w:val="bottom"/>
          </w:tcPr>
          <w:p>
            <w:pPr>
              <w:jc w:val="right"/>
              <w:ind w:right="1"/>
              <w:spacing w:after="0"/>
              <w:rPr>
                <w:sz w:val="20"/>
                <w:szCs w:val="20"/>
                <w:color w:val="auto"/>
              </w:rPr>
            </w:pPr>
            <w:r>
              <w:rPr>
                <w:rFonts w:ascii="Arial" w:cs="Arial" w:eastAsia="Arial" w:hAnsi="Arial"/>
                <w:sz w:val="16"/>
                <w:szCs w:val="16"/>
                <w:color w:val="auto"/>
              </w:rPr>
              <w:t>29,761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right"/>
              <w:ind w:right="120"/>
              <w:spacing w:after="0"/>
              <w:rPr>
                <w:sz w:val="20"/>
                <w:szCs w:val="20"/>
                <w:color w:val="auto"/>
              </w:rPr>
            </w:pPr>
            <w:r>
              <w:rPr>
                <w:rFonts w:ascii="Arial" w:cs="Arial" w:eastAsia="Arial" w:hAnsi="Arial"/>
                <w:sz w:val="16"/>
                <w:szCs w:val="16"/>
                <w:color w:val="auto"/>
              </w:rPr>
              <w:t>44,423</w:t>
            </w:r>
          </w:p>
        </w:tc>
        <w:tc>
          <w:tcPr>
            <w:tcW w:w="0" w:type="dxa"/>
            <w:vAlign w:val="bottom"/>
          </w:tcPr>
          <w:p>
            <w:pPr>
              <w:spacing w:after="0"/>
              <w:rPr>
                <w:sz w:val="1"/>
                <w:szCs w:val="1"/>
                <w:color w:val="auto"/>
              </w:rPr>
            </w:pPr>
          </w:p>
        </w:tc>
      </w:tr>
      <w:tr>
        <w:trPr>
          <w:trHeight w:val="235"/>
        </w:trPr>
        <w:tc>
          <w:tcPr>
            <w:tcW w:w="35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Adjusted Income from Operations</w:t>
            </w:r>
          </w:p>
        </w:tc>
        <w:tc>
          <w:tcPr>
            <w:tcW w:w="260" w:type="dxa"/>
            <w:vAlign w:val="bottom"/>
            <w:tcBorders>
              <w:top w:val="single" w:sz="8" w:color="auto"/>
              <w:bottom w:val="single" w:sz="8" w:color="auto"/>
            </w:tcBorders>
            <w:shd w:val="clear" w:color="auto" w:fill="CCEEFF"/>
          </w:tcPr>
          <w:p>
            <w:pPr>
              <w:jc w:val="right"/>
              <w:ind w:right="61"/>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150,189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bottom w:val="single" w:sz="8" w:color="auto"/>
            </w:tcBorders>
            <w:shd w:val="clear" w:color="auto" w:fill="CCEEFF"/>
          </w:tcPr>
          <w:p>
            <w:pPr>
              <w:jc w:val="right"/>
              <w:ind w:right="140"/>
              <w:spacing w:after="0"/>
              <w:rPr>
                <w:sz w:val="20"/>
                <w:szCs w:val="20"/>
                <w:color w:val="auto"/>
              </w:rPr>
            </w:pPr>
            <w:r>
              <w:rPr>
                <w:rFonts w:ascii="Arial" w:cs="Arial" w:eastAsia="Arial" w:hAnsi="Arial"/>
                <w:sz w:val="16"/>
                <w:szCs w:val="16"/>
                <w:color w:val="auto"/>
              </w:rPr>
              <w:t>15,317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13,743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(23,539)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155,710</w:t>
            </w:r>
          </w:p>
        </w:tc>
        <w:tc>
          <w:tcPr>
            <w:tcW w:w="0" w:type="dxa"/>
            <w:vAlign w:val="bottom"/>
          </w:tcPr>
          <w:p>
            <w:pPr>
              <w:spacing w:after="0"/>
              <w:rPr>
                <w:sz w:val="1"/>
                <w:szCs w:val="1"/>
                <w:color w:val="auto"/>
              </w:rPr>
            </w:pPr>
          </w:p>
        </w:tc>
      </w:tr>
      <w:tr>
        <w:trPr>
          <w:trHeight w:val="20"/>
        </w:trPr>
        <w:tc>
          <w:tcPr>
            <w:tcW w:w="35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Sales</w:t>
            </w:r>
          </w:p>
        </w:tc>
        <w:tc>
          <w:tcPr>
            <w:tcW w:w="26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1,106,239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173,788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65,377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1,345,404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162560</wp:posOffset>
            </wp:positionV>
            <wp:extent cx="7132320"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241" w:lineRule="exact"/>
        <w:rPr>
          <w:sz w:val="20"/>
          <w:szCs w:val="20"/>
          <w:color w:val="auto"/>
        </w:rPr>
      </w:pPr>
    </w:p>
    <w:p>
      <w:pPr>
        <w:ind w:left="240" w:hanging="214"/>
        <w:spacing w:after="0"/>
        <w:tabs>
          <w:tab w:leader="none" w:pos="240" w:val="left"/>
        </w:tabs>
        <w:numPr>
          <w:ilvl w:val="0"/>
          <w:numId w:val="12"/>
        </w:numPr>
        <w:rPr>
          <w:rFonts w:ascii="Arial" w:cs="Arial" w:eastAsia="Arial" w:hAnsi="Arial"/>
          <w:sz w:val="14"/>
          <w:szCs w:val="14"/>
          <w:color w:val="auto"/>
        </w:rPr>
      </w:pPr>
      <w:r>
        <w:rPr>
          <w:rFonts w:ascii="Arial" w:cs="Arial" w:eastAsia="Arial" w:hAnsi="Arial"/>
          <w:sz w:val="14"/>
          <w:szCs w:val="14"/>
          <w:color w:val="auto"/>
        </w:rPr>
        <w:t>Comprised primarily of exit activities costs</w:t>
      </w:r>
    </w:p>
    <w:p>
      <w:pPr>
        <w:spacing w:after="0" w:line="41" w:lineRule="exact"/>
        <w:rPr>
          <w:rFonts w:ascii="Arial" w:cs="Arial" w:eastAsia="Arial" w:hAnsi="Arial"/>
          <w:sz w:val="14"/>
          <w:szCs w:val="14"/>
          <w:color w:val="auto"/>
        </w:rPr>
      </w:pPr>
    </w:p>
    <w:p>
      <w:pPr>
        <w:ind w:left="240" w:hanging="214"/>
        <w:spacing w:after="0"/>
        <w:tabs>
          <w:tab w:leader="none" w:pos="240" w:val="left"/>
        </w:tabs>
        <w:numPr>
          <w:ilvl w:val="0"/>
          <w:numId w:val="12"/>
        </w:numPr>
        <w:rPr>
          <w:rFonts w:ascii="Arial" w:cs="Arial" w:eastAsia="Arial" w:hAnsi="Arial"/>
          <w:sz w:val="14"/>
          <w:szCs w:val="14"/>
          <w:color w:val="auto"/>
        </w:rPr>
      </w:pPr>
      <w:r>
        <w:rPr>
          <w:rFonts w:ascii="Arial" w:cs="Arial" w:eastAsia="Arial" w:hAnsi="Arial"/>
          <w:sz w:val="14"/>
          <w:szCs w:val="14"/>
          <w:color w:val="auto"/>
        </w:rPr>
        <w:t>Represents acquisition related expenses including due diligence and integration costs of recent business combinations</w:t>
      </w:r>
    </w:p>
    <w:p>
      <w:pPr>
        <w:sectPr>
          <w:pgSz w:w="11900" w:h="16838" w:orient="portrait"/>
          <w:cols w:equalWidth="0" w:num="1">
            <w:col w:w="11240"/>
          </w:cols>
          <w:pgMar w:left="320" w:top="1093" w:right="3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5205730</wp:posOffset>
            </wp:positionH>
            <wp:positionV relativeFrom="page">
              <wp:posOffset>243205</wp:posOffset>
            </wp:positionV>
            <wp:extent cx="2134235" cy="2743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clrChange>
                        <a:clrFrom>
                          <a:srgbClr val="FFFFFF"/>
                        </a:clrFrom>
                        <a:clrTo>
                          <a:srgbClr val="FFFFFF">
                            <a:alpha val="0"/>
                          </a:srgbClr>
                        </a:clrTo>
                      </a:clrChange>
                      <a:extLst>
                        <a:ext uri="{28A0092B-C50C-407E-A947-70E740481C1C}"/>
                      </a:extLst>
                    </a:blip>
                    <a:srcRect/>
                    <a:stretch>
                      <a:fillRect/>
                    </a:stretch>
                  </pic:blipFill>
                  <pic:spPr bwMode="auto">
                    <a:xfrm>
                      <a:off x="0" y="0"/>
                      <a:ext cx="2134235" cy="274320"/>
                    </a:xfrm>
                    <a:prstGeom prst="rect">
                      <a:avLst/>
                    </a:prstGeom>
                    <a:noFill/>
                  </pic:spPr>
                </pic:pic>
              </a:graphicData>
            </a:graphic>
          </wp:anchor>
        </w:drawing>
        <w:t>GIBRALTAR INDUSTRIES,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Reconciliation of GAAP and Adjusted Financial Measures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Nine Months Ended September 30, 2025</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gridSpan w:val="3"/>
            <w:vMerge w:val="restart"/>
          </w:tcPr>
          <w:p>
            <w:pPr>
              <w:jc w:val="center"/>
              <w:ind w:right="100"/>
              <w:spacing w:after="0"/>
              <w:rPr>
                <w:sz w:val="20"/>
                <w:szCs w:val="20"/>
                <w:color w:val="auto"/>
              </w:rPr>
            </w:pPr>
            <w:r>
              <w:rPr>
                <w:rFonts w:ascii="Arial" w:cs="Arial" w:eastAsia="Arial" w:hAnsi="Arial"/>
                <w:sz w:val="14"/>
                <w:szCs w:val="14"/>
                <w:color w:val="auto"/>
              </w:rPr>
              <w:t>Provision for income</w:t>
            </w:r>
          </w:p>
        </w:tc>
        <w:tc>
          <w:tcPr>
            <w:tcW w:w="140" w:type="dxa"/>
            <w:vAlign w:val="bottom"/>
          </w:tcPr>
          <w:p>
            <w:pPr>
              <w:spacing w:after="0"/>
              <w:rPr>
                <w:sz w:val="14"/>
                <w:szCs w:val="14"/>
                <w:color w:val="auto"/>
              </w:rPr>
            </w:pPr>
          </w:p>
        </w:tc>
        <w:tc>
          <w:tcPr>
            <w:tcW w:w="1420" w:type="dxa"/>
            <w:vAlign w:val="bottom"/>
            <w:gridSpan w:val="2"/>
            <w:vMerge w:val="restart"/>
          </w:tcPr>
          <w:p>
            <w:pPr>
              <w:jc w:val="center"/>
              <w:ind w:right="240"/>
              <w:spacing w:after="0"/>
              <w:rPr>
                <w:sz w:val="20"/>
                <w:szCs w:val="20"/>
                <w:color w:val="auto"/>
              </w:rPr>
            </w:pPr>
            <w:r>
              <w:rPr>
                <w:rFonts w:ascii="Arial" w:cs="Arial" w:eastAsia="Arial" w:hAnsi="Arial"/>
                <w:sz w:val="14"/>
                <w:szCs w:val="14"/>
                <w:color w:val="auto"/>
              </w:rPr>
              <w:t>Net income from</w:t>
            </w:r>
          </w:p>
        </w:tc>
        <w:tc>
          <w:tcPr>
            <w:tcW w:w="120" w:type="dxa"/>
            <w:vAlign w:val="bottom"/>
          </w:tcPr>
          <w:p>
            <w:pPr>
              <w:spacing w:after="0"/>
              <w:rPr>
                <w:sz w:val="14"/>
                <w:szCs w:val="14"/>
                <w:color w:val="auto"/>
              </w:rPr>
            </w:pPr>
          </w:p>
        </w:tc>
        <w:tc>
          <w:tcPr>
            <w:tcW w:w="1400" w:type="dxa"/>
            <w:vAlign w:val="bottom"/>
            <w:gridSpan w:val="2"/>
          </w:tcPr>
          <w:p>
            <w:pPr>
              <w:jc w:val="center"/>
              <w:ind w:right="220"/>
              <w:spacing w:after="0"/>
              <w:rPr>
                <w:sz w:val="20"/>
                <w:szCs w:val="20"/>
                <w:color w:val="auto"/>
              </w:rPr>
            </w:pPr>
            <w:r>
              <w:rPr>
                <w:rFonts w:ascii="Arial" w:cs="Arial" w:eastAsia="Arial" w:hAnsi="Arial"/>
                <w:sz w:val="14"/>
                <w:szCs w:val="14"/>
                <w:color w:val="auto"/>
              </w:rPr>
              <w:t>Net income from</w:t>
            </w:r>
          </w:p>
        </w:tc>
        <w:tc>
          <w:tcPr>
            <w:tcW w:w="2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3520" w:type="dxa"/>
            <w:vAlign w:val="bottom"/>
          </w:tcPr>
          <w:p>
            <w:pPr>
              <w:spacing w:after="0"/>
              <w:rPr>
                <w:sz w:val="12"/>
                <w:szCs w:val="12"/>
                <w:color w:val="auto"/>
              </w:rPr>
            </w:pPr>
          </w:p>
        </w:tc>
        <w:tc>
          <w:tcPr>
            <w:tcW w:w="1560" w:type="dxa"/>
            <w:vAlign w:val="bottom"/>
            <w:gridSpan w:val="3"/>
            <w:vMerge w:val="restart"/>
          </w:tcPr>
          <w:p>
            <w:pPr>
              <w:jc w:val="center"/>
              <w:ind w:right="100"/>
              <w:spacing w:after="0"/>
              <w:rPr>
                <w:sz w:val="20"/>
                <w:szCs w:val="20"/>
                <w:color w:val="auto"/>
              </w:rPr>
            </w:pPr>
            <w:r>
              <w:rPr>
                <w:rFonts w:ascii="Arial" w:cs="Arial" w:eastAsia="Arial" w:hAnsi="Arial"/>
                <w:sz w:val="14"/>
                <w:szCs w:val="14"/>
                <w:color w:val="auto"/>
              </w:rPr>
              <w:t>Income before taxes</w:t>
            </w:r>
          </w:p>
        </w:tc>
        <w:tc>
          <w:tcPr>
            <w:tcW w:w="162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1520" w:type="dxa"/>
            <w:vAlign w:val="bottom"/>
            <w:gridSpan w:val="3"/>
          </w:tcPr>
          <w:p>
            <w:pPr>
              <w:ind w:left="20"/>
              <w:spacing w:after="0" w:line="145" w:lineRule="exact"/>
              <w:rPr>
                <w:sz w:val="20"/>
                <w:szCs w:val="20"/>
                <w:color w:val="auto"/>
              </w:rPr>
            </w:pPr>
            <w:r>
              <w:rPr>
                <w:rFonts w:ascii="Arial" w:cs="Arial" w:eastAsia="Arial" w:hAnsi="Arial"/>
                <w:sz w:val="14"/>
                <w:szCs w:val="14"/>
                <w:color w:val="auto"/>
              </w:rPr>
              <w:t>continuing operations</w:t>
            </w:r>
          </w:p>
        </w:tc>
        <w:tc>
          <w:tcPr>
            <w:tcW w:w="2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3520" w:type="dxa"/>
            <w:vAlign w:val="bottom"/>
          </w:tcPr>
          <w:p>
            <w:pPr>
              <w:spacing w:after="0"/>
              <w:rPr>
                <w:sz w:val="16"/>
                <w:szCs w:val="16"/>
                <w:color w:val="auto"/>
              </w:rPr>
            </w:pPr>
          </w:p>
        </w:tc>
        <w:tc>
          <w:tcPr>
            <w:tcW w:w="1560" w:type="dxa"/>
            <w:vAlign w:val="bottom"/>
            <w:gridSpan w:val="3"/>
            <w:vMerge w:val="continue"/>
          </w:tcPr>
          <w:p>
            <w:pPr>
              <w:spacing w:after="0"/>
              <w:rPr>
                <w:sz w:val="16"/>
                <w:szCs w:val="16"/>
                <w:color w:val="auto"/>
              </w:rPr>
            </w:pPr>
          </w:p>
        </w:tc>
        <w:tc>
          <w:tcPr>
            <w:tcW w:w="320" w:type="dxa"/>
            <w:vAlign w:val="bottom"/>
          </w:tcPr>
          <w:p>
            <w:pPr>
              <w:spacing w:after="0"/>
              <w:rPr>
                <w:sz w:val="16"/>
                <w:szCs w:val="16"/>
                <w:color w:val="auto"/>
              </w:rPr>
            </w:pPr>
          </w:p>
        </w:tc>
        <w:tc>
          <w:tcPr>
            <w:tcW w:w="1300" w:type="dxa"/>
            <w:vAlign w:val="bottom"/>
            <w:gridSpan w:val="2"/>
          </w:tcPr>
          <w:p>
            <w:pPr>
              <w:jc w:val="center"/>
              <w:ind w:right="420"/>
              <w:spacing w:after="0"/>
              <w:rPr>
                <w:sz w:val="20"/>
                <w:szCs w:val="20"/>
                <w:color w:val="auto"/>
              </w:rPr>
            </w:pPr>
            <w:r>
              <w:rPr>
                <w:rFonts w:ascii="Arial" w:cs="Arial" w:eastAsia="Arial" w:hAnsi="Arial"/>
                <w:sz w:val="14"/>
                <w:szCs w:val="14"/>
                <w:color w:val="auto"/>
              </w:rPr>
              <w:t>taxes</w:t>
            </w:r>
          </w:p>
        </w:tc>
        <w:tc>
          <w:tcPr>
            <w:tcW w:w="1560" w:type="dxa"/>
            <w:vAlign w:val="bottom"/>
            <w:gridSpan w:val="3"/>
          </w:tcPr>
          <w:p>
            <w:pPr>
              <w:jc w:val="center"/>
              <w:ind w:right="100"/>
              <w:spacing w:after="0"/>
              <w:rPr>
                <w:sz w:val="20"/>
                <w:szCs w:val="20"/>
                <w:color w:val="auto"/>
              </w:rPr>
            </w:pPr>
            <w:r>
              <w:rPr>
                <w:rFonts w:ascii="Arial" w:cs="Arial" w:eastAsia="Arial" w:hAnsi="Arial"/>
                <w:sz w:val="14"/>
                <w:szCs w:val="14"/>
                <w:color w:val="auto"/>
              </w:rPr>
              <w:t>continuing operations</w:t>
            </w:r>
          </w:p>
        </w:tc>
        <w:tc>
          <w:tcPr>
            <w:tcW w:w="120" w:type="dxa"/>
            <w:vAlign w:val="bottom"/>
          </w:tcPr>
          <w:p>
            <w:pPr>
              <w:spacing w:after="0"/>
              <w:rPr>
                <w:sz w:val="16"/>
                <w:szCs w:val="16"/>
                <w:color w:val="auto"/>
              </w:rPr>
            </w:pPr>
          </w:p>
        </w:tc>
        <w:tc>
          <w:tcPr>
            <w:tcW w:w="1400" w:type="dxa"/>
            <w:vAlign w:val="bottom"/>
            <w:gridSpan w:val="2"/>
          </w:tcPr>
          <w:p>
            <w:pPr>
              <w:jc w:val="center"/>
              <w:ind w:right="200"/>
              <w:spacing w:after="0"/>
              <w:rPr>
                <w:sz w:val="20"/>
                <w:szCs w:val="20"/>
                <w:color w:val="auto"/>
              </w:rPr>
            </w:pPr>
            <w:r>
              <w:rPr>
                <w:rFonts w:ascii="Arial" w:cs="Arial" w:eastAsia="Arial" w:hAnsi="Arial"/>
                <w:sz w:val="14"/>
                <w:szCs w:val="14"/>
                <w:color w:val="auto"/>
              </w:rPr>
              <w:t>per share - diluted</w:t>
            </w:r>
          </w:p>
        </w:tc>
        <w:tc>
          <w:tcPr>
            <w:tcW w:w="2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35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As Reported in GAAP Statements</w:t>
            </w:r>
          </w:p>
        </w:tc>
        <w:tc>
          <w:tcPr>
            <w:tcW w:w="240" w:type="dxa"/>
            <w:vAlign w:val="bottom"/>
            <w:tcBorders>
              <w:top w:val="single" w:sz="8" w:color="auto"/>
            </w:tcBorders>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111,402</w:t>
            </w: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tcBorders>
            <w:shd w:val="clear" w:color="auto" w:fill="CCEEFF"/>
          </w:tcPr>
          <w:p>
            <w:pPr>
              <w:jc w:val="right"/>
              <w:ind w:right="140"/>
              <w:spacing w:after="0"/>
              <w:rPr>
                <w:sz w:val="20"/>
                <w:szCs w:val="20"/>
                <w:color w:val="auto"/>
              </w:rPr>
            </w:pPr>
            <w:r>
              <w:rPr>
                <w:rFonts w:ascii="Arial" w:cs="Arial" w:eastAsia="Arial" w:hAnsi="Arial"/>
                <w:sz w:val="16"/>
                <w:szCs w:val="16"/>
                <w:color w:val="auto"/>
              </w:rPr>
              <w:t>25,644</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85,758</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2.85</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520" w:type="dxa"/>
            <w:vAlign w:val="bottom"/>
          </w:tcPr>
          <w:p>
            <w:pPr>
              <w:ind w:left="20"/>
              <w:spacing w:after="0"/>
              <w:rPr>
                <w:sz w:val="20"/>
                <w:szCs w:val="20"/>
                <w:color w:val="auto"/>
              </w:rPr>
            </w:pPr>
            <w:r>
              <w:rPr>
                <w:rFonts w:ascii="Arial" w:cs="Arial" w:eastAsia="Arial" w:hAnsi="Arial"/>
                <w:sz w:val="14"/>
                <w:szCs w:val="14"/>
                <w:color w:val="auto"/>
              </w:rPr>
              <w:t>Restructuring Charges (1)</w:t>
            </w:r>
          </w:p>
        </w:tc>
        <w:tc>
          <w:tcPr>
            <w:tcW w:w="240" w:type="dxa"/>
            <w:vAlign w:val="bottom"/>
          </w:tcPr>
          <w:p>
            <w:pPr>
              <w:spacing w:after="0"/>
              <w:rPr>
                <w:sz w:val="18"/>
                <w:szCs w:val="18"/>
                <w:color w:val="auto"/>
              </w:rPr>
            </w:pPr>
          </w:p>
        </w:tc>
        <w:tc>
          <w:tcPr>
            <w:tcW w:w="1220" w:type="dxa"/>
            <w:vAlign w:val="bottom"/>
          </w:tcPr>
          <w:p>
            <w:pPr>
              <w:jc w:val="right"/>
              <w:ind w:right="120"/>
              <w:spacing w:after="0"/>
              <w:rPr>
                <w:sz w:val="20"/>
                <w:szCs w:val="20"/>
                <w:color w:val="auto"/>
              </w:rPr>
            </w:pPr>
            <w:r>
              <w:rPr>
                <w:rFonts w:ascii="Arial" w:cs="Arial" w:eastAsia="Arial" w:hAnsi="Arial"/>
                <w:sz w:val="16"/>
                <w:szCs w:val="16"/>
                <w:color w:val="auto"/>
              </w:rPr>
              <w:t>4,115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jc w:val="right"/>
              <w:ind w:right="140"/>
              <w:spacing w:after="0"/>
              <w:rPr>
                <w:sz w:val="20"/>
                <w:szCs w:val="20"/>
                <w:color w:val="auto"/>
              </w:rPr>
            </w:pPr>
            <w:r>
              <w:rPr>
                <w:rFonts w:ascii="Arial" w:cs="Arial" w:eastAsia="Arial" w:hAnsi="Arial"/>
                <w:sz w:val="16"/>
                <w:szCs w:val="16"/>
                <w:color w:val="auto"/>
              </w:rPr>
              <w:t>780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ind w:right="120"/>
              <w:spacing w:after="0"/>
              <w:rPr>
                <w:sz w:val="20"/>
                <w:szCs w:val="20"/>
                <w:color w:val="auto"/>
              </w:rPr>
            </w:pPr>
            <w:r>
              <w:rPr>
                <w:rFonts w:ascii="Arial" w:cs="Arial" w:eastAsia="Arial" w:hAnsi="Arial"/>
                <w:sz w:val="16"/>
                <w:szCs w:val="16"/>
                <w:color w:val="auto"/>
              </w:rPr>
              <w:t>3,335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0.11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Acquisition Related Costs (2) (3)</w:t>
            </w:r>
          </w:p>
        </w:tc>
        <w:tc>
          <w:tcPr>
            <w:tcW w:w="2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7,480</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6"/>
                <w:szCs w:val="16"/>
                <w:color w:val="auto"/>
              </w:rPr>
              <w:t>1,672</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5,808</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0.20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520" w:type="dxa"/>
            <w:vAlign w:val="bottom"/>
          </w:tcPr>
          <w:p>
            <w:pPr>
              <w:ind w:left="20"/>
              <w:spacing w:after="0"/>
              <w:rPr>
                <w:sz w:val="20"/>
                <w:szCs w:val="20"/>
                <w:color w:val="auto"/>
              </w:rPr>
            </w:pPr>
            <w:r>
              <w:rPr>
                <w:rFonts w:ascii="Arial" w:cs="Arial" w:eastAsia="Arial" w:hAnsi="Arial"/>
                <w:sz w:val="14"/>
                <w:szCs w:val="14"/>
                <w:color w:val="auto"/>
              </w:rPr>
              <w:t>Adjusted Financial Measures</w:t>
            </w:r>
          </w:p>
        </w:tc>
        <w:tc>
          <w:tcPr>
            <w:tcW w:w="24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122,997</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28,096</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94,901</w:t>
            </w:r>
          </w:p>
        </w:tc>
        <w:tc>
          <w:tcPr>
            <w:tcW w:w="100" w:type="dxa"/>
            <w:vAlign w:val="bottom"/>
          </w:tcPr>
          <w:p>
            <w:pPr>
              <w:spacing w:after="0"/>
              <w:rPr>
                <w:sz w:val="18"/>
                <w:szCs w:val="18"/>
                <w:color w:val="auto"/>
              </w:rPr>
            </w:pPr>
          </w:p>
        </w:tc>
        <w:tc>
          <w:tcPr>
            <w:tcW w:w="1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5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5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9"/>
        </w:trPr>
        <w:tc>
          <w:tcPr>
            <w:tcW w:w="3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4"/>
                <w:szCs w:val="14"/>
                <w:color w:val="auto"/>
              </w:rPr>
              <w:t>Residential</w:t>
            </w:r>
          </w:p>
        </w:tc>
        <w:tc>
          <w:tcPr>
            <w:tcW w:w="320" w:type="dxa"/>
            <w:vAlign w:val="bottom"/>
          </w:tcPr>
          <w:p>
            <w:pPr>
              <w:spacing w:after="0"/>
              <w:rPr>
                <w:sz w:val="17"/>
                <w:szCs w:val="17"/>
                <w:color w:val="auto"/>
              </w:rPr>
            </w:pPr>
          </w:p>
        </w:tc>
        <w:tc>
          <w:tcPr>
            <w:tcW w:w="1300" w:type="dxa"/>
            <w:vAlign w:val="bottom"/>
            <w:gridSpan w:val="2"/>
          </w:tcPr>
          <w:p>
            <w:pPr>
              <w:jc w:val="center"/>
              <w:ind w:right="420"/>
              <w:spacing w:after="0"/>
              <w:rPr>
                <w:sz w:val="20"/>
                <w:szCs w:val="20"/>
                <w:color w:val="auto"/>
              </w:rPr>
            </w:pPr>
            <w:r>
              <w:rPr>
                <w:rFonts w:ascii="Arial" w:cs="Arial" w:eastAsia="Arial" w:hAnsi="Arial"/>
                <w:sz w:val="14"/>
                <w:szCs w:val="14"/>
                <w:color w:val="auto"/>
              </w:rPr>
              <w:t>Agtech</w:t>
            </w:r>
          </w:p>
        </w:tc>
        <w:tc>
          <w:tcPr>
            <w:tcW w:w="140" w:type="dxa"/>
            <w:vAlign w:val="bottom"/>
          </w:tcPr>
          <w:p>
            <w:pPr>
              <w:spacing w:after="0"/>
              <w:rPr>
                <w:sz w:val="17"/>
                <w:szCs w:val="17"/>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4"/>
                <w:szCs w:val="14"/>
                <w:color w:val="auto"/>
              </w:rPr>
              <w:t>Infrastructure</w:t>
            </w:r>
          </w:p>
        </w:tc>
        <w:tc>
          <w:tcPr>
            <w:tcW w:w="120" w:type="dxa"/>
            <w:vAlign w:val="bottom"/>
          </w:tcPr>
          <w:p>
            <w:pPr>
              <w:spacing w:after="0"/>
              <w:rPr>
                <w:sz w:val="17"/>
                <w:szCs w:val="17"/>
                <w:color w:val="auto"/>
              </w:rPr>
            </w:pPr>
          </w:p>
        </w:tc>
        <w:tc>
          <w:tcPr>
            <w:tcW w:w="1400" w:type="dxa"/>
            <w:vAlign w:val="bottom"/>
            <w:gridSpan w:val="2"/>
          </w:tcPr>
          <w:p>
            <w:pPr>
              <w:jc w:val="center"/>
              <w:ind w:right="200"/>
              <w:spacing w:after="0"/>
              <w:rPr>
                <w:sz w:val="20"/>
                <w:szCs w:val="20"/>
                <w:color w:val="auto"/>
              </w:rPr>
            </w:pPr>
            <w:r>
              <w:rPr>
                <w:rFonts w:ascii="Arial" w:cs="Arial" w:eastAsia="Arial" w:hAnsi="Arial"/>
                <w:sz w:val="14"/>
                <w:szCs w:val="14"/>
                <w:color w:val="auto"/>
              </w:rPr>
              <w:t>Corporate</w:t>
            </w:r>
          </w:p>
        </w:tc>
        <w:tc>
          <w:tcPr>
            <w:tcW w:w="220" w:type="dxa"/>
            <w:vAlign w:val="bottom"/>
          </w:tcPr>
          <w:p>
            <w:pPr>
              <w:spacing w:after="0"/>
              <w:rPr>
                <w:sz w:val="17"/>
                <w:szCs w:val="17"/>
                <w:color w:val="auto"/>
              </w:rPr>
            </w:pPr>
          </w:p>
        </w:tc>
        <w:tc>
          <w:tcPr>
            <w:tcW w:w="1240" w:type="dxa"/>
            <w:vAlign w:val="bottom"/>
          </w:tcPr>
          <w:p>
            <w:pPr>
              <w:jc w:val="right"/>
              <w:ind w:right="220"/>
              <w:spacing w:after="0"/>
              <w:rPr>
                <w:sz w:val="20"/>
                <w:szCs w:val="20"/>
                <w:color w:val="auto"/>
              </w:rPr>
            </w:pPr>
            <w:r>
              <w:rPr>
                <w:rFonts w:ascii="Arial" w:cs="Arial" w:eastAsia="Arial" w:hAnsi="Arial"/>
                <w:sz w:val="14"/>
                <w:szCs w:val="14"/>
                <w:color w:val="auto"/>
              </w:rPr>
              <w:t>Consolidated</w:t>
            </w:r>
          </w:p>
        </w:tc>
        <w:tc>
          <w:tcPr>
            <w:tcW w:w="0" w:type="dxa"/>
            <w:vAlign w:val="bottom"/>
          </w:tcPr>
          <w:p>
            <w:pPr>
              <w:spacing w:after="0"/>
              <w:rPr>
                <w:sz w:val="1"/>
                <w:szCs w:val="1"/>
                <w:color w:val="auto"/>
              </w:rPr>
            </w:pPr>
          </w:p>
        </w:tc>
      </w:tr>
      <w:tr>
        <w:trPr>
          <w:trHeight w:val="213"/>
        </w:trPr>
        <w:tc>
          <w:tcPr>
            <w:tcW w:w="35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Operating Margin</w:t>
            </w:r>
          </w:p>
        </w:tc>
        <w:tc>
          <w:tcPr>
            <w:tcW w:w="24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18.0 %</w:t>
            </w: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3.9 %</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24.5 %</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n/a</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12.5 %</w:t>
            </w:r>
          </w:p>
        </w:tc>
        <w:tc>
          <w:tcPr>
            <w:tcW w:w="0" w:type="dxa"/>
            <w:vAlign w:val="bottom"/>
          </w:tcPr>
          <w:p>
            <w:pPr>
              <w:spacing w:after="0"/>
              <w:rPr>
                <w:sz w:val="1"/>
                <w:szCs w:val="1"/>
                <w:color w:val="auto"/>
              </w:rPr>
            </w:pPr>
          </w:p>
        </w:tc>
      </w:tr>
      <w:tr>
        <w:trPr>
          <w:trHeight w:val="215"/>
        </w:trPr>
        <w:tc>
          <w:tcPr>
            <w:tcW w:w="3520" w:type="dxa"/>
            <w:vAlign w:val="bottom"/>
          </w:tcPr>
          <w:p>
            <w:pPr>
              <w:ind w:left="20"/>
              <w:spacing w:after="0"/>
              <w:rPr>
                <w:sz w:val="20"/>
                <w:szCs w:val="20"/>
                <w:color w:val="auto"/>
              </w:rPr>
            </w:pPr>
            <w:r>
              <w:rPr>
                <w:rFonts w:ascii="Arial" w:cs="Arial" w:eastAsia="Arial" w:hAnsi="Arial"/>
                <w:sz w:val="14"/>
                <w:szCs w:val="14"/>
                <w:color w:val="auto"/>
              </w:rPr>
              <w:t>Restructuring Charges (1)</w:t>
            </w: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0.5 %</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0.4 %</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ind w:left="960"/>
              <w:spacing w:after="0"/>
              <w:rPr>
                <w:sz w:val="20"/>
                <w:szCs w:val="20"/>
                <w:color w:val="auto"/>
              </w:rPr>
            </w:pPr>
            <w:r>
              <w:rPr>
                <w:rFonts w:ascii="Arial" w:cs="Arial" w:eastAsia="Arial" w:hAnsi="Arial"/>
                <w:sz w:val="16"/>
                <w:szCs w:val="16"/>
                <w:color w:val="auto"/>
              </w:rPr>
              <w:t>— %</w:t>
            </w:r>
          </w:p>
        </w:tc>
        <w:tc>
          <w:tcPr>
            <w:tcW w:w="12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6"/>
                <w:szCs w:val="16"/>
                <w:color w:val="auto"/>
              </w:rPr>
              <w:t>n/a</w:t>
            </w: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0.5 %</w:t>
            </w:r>
          </w:p>
        </w:tc>
        <w:tc>
          <w:tcPr>
            <w:tcW w:w="0" w:type="dxa"/>
            <w:vAlign w:val="bottom"/>
          </w:tcPr>
          <w:p>
            <w:pPr>
              <w:spacing w:after="0"/>
              <w:rPr>
                <w:sz w:val="1"/>
                <w:szCs w:val="1"/>
                <w:color w:val="auto"/>
              </w:rPr>
            </w:pPr>
          </w:p>
        </w:tc>
      </w:tr>
      <w:tr>
        <w:trPr>
          <w:trHeight w:val="217"/>
        </w:trPr>
        <w:tc>
          <w:tcPr>
            <w:tcW w:w="35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Acquisition Related Costs (2)</w:t>
            </w: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ind w:left="860"/>
              <w:spacing w:after="0"/>
              <w:rPr>
                <w:sz w:val="20"/>
                <w:szCs w:val="20"/>
                <w:color w:val="auto"/>
              </w:rPr>
            </w:pPr>
            <w:r>
              <w:rPr>
                <w:rFonts w:ascii="Arial" w:cs="Arial" w:eastAsia="Arial" w:hAnsi="Arial"/>
                <w:sz w:val="16"/>
                <w:szCs w:val="16"/>
                <w:color w:val="auto"/>
              </w:rPr>
              <w:t>— %</w:t>
            </w: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2.9 %</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ind w:left="960"/>
              <w:spacing w:after="0"/>
              <w:rPr>
                <w:sz w:val="20"/>
                <w:szCs w:val="20"/>
                <w:color w:val="auto"/>
              </w:rPr>
            </w:pPr>
            <w:r>
              <w:rPr>
                <w:rFonts w:ascii="Arial" w:cs="Arial" w:eastAsia="Arial" w:hAnsi="Arial"/>
                <w:sz w:val="16"/>
                <w:szCs w:val="16"/>
                <w:color w:val="auto"/>
              </w:rPr>
              <w:t>— %</w:t>
            </w: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n/a</w:t>
            </w: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1.1 %</w:t>
            </w:r>
          </w:p>
        </w:tc>
        <w:tc>
          <w:tcPr>
            <w:tcW w:w="0" w:type="dxa"/>
            <w:vAlign w:val="bottom"/>
          </w:tcPr>
          <w:p>
            <w:pPr>
              <w:spacing w:after="0"/>
              <w:rPr>
                <w:sz w:val="1"/>
                <w:szCs w:val="1"/>
                <w:color w:val="auto"/>
              </w:rPr>
            </w:pPr>
          </w:p>
        </w:tc>
      </w:tr>
      <w:tr>
        <w:trPr>
          <w:trHeight w:val="209"/>
        </w:trPr>
        <w:tc>
          <w:tcPr>
            <w:tcW w:w="3520" w:type="dxa"/>
            <w:vAlign w:val="bottom"/>
          </w:tcPr>
          <w:p>
            <w:pPr>
              <w:ind w:left="20"/>
              <w:spacing w:after="0"/>
              <w:rPr>
                <w:sz w:val="20"/>
                <w:szCs w:val="20"/>
                <w:color w:val="auto"/>
              </w:rPr>
            </w:pPr>
            <w:r>
              <w:rPr>
                <w:rFonts w:ascii="Arial" w:cs="Arial" w:eastAsia="Arial" w:hAnsi="Arial"/>
                <w:sz w:val="14"/>
                <w:szCs w:val="14"/>
                <w:color w:val="auto"/>
              </w:rPr>
              <w:t>Adjusted Operating Margin</w:t>
            </w:r>
          </w:p>
        </w:tc>
        <w:tc>
          <w:tcPr>
            <w:tcW w:w="24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18.6 %</w:t>
            </w:r>
          </w:p>
        </w:tc>
        <w:tc>
          <w:tcPr>
            <w:tcW w:w="100" w:type="dxa"/>
            <w:vAlign w:val="bottom"/>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7.2 %</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24.5 %</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n/a</w:t>
            </w: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14.0 %</w:t>
            </w:r>
          </w:p>
        </w:tc>
        <w:tc>
          <w:tcPr>
            <w:tcW w:w="0" w:type="dxa"/>
            <w:vAlign w:val="bottom"/>
          </w:tcPr>
          <w:p>
            <w:pPr>
              <w:spacing w:after="0"/>
              <w:rPr>
                <w:sz w:val="1"/>
                <w:szCs w:val="1"/>
                <w:color w:val="auto"/>
              </w:rPr>
            </w:pPr>
          </w:p>
        </w:tc>
      </w:tr>
      <w:tr>
        <w:trPr>
          <w:trHeight w:val="20"/>
        </w:trPr>
        <w:tc>
          <w:tcPr>
            <w:tcW w:w="35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5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3520" w:type="dxa"/>
            <w:vAlign w:val="bottom"/>
          </w:tcPr>
          <w:p>
            <w:pPr>
              <w:ind w:left="20"/>
              <w:spacing w:after="0"/>
              <w:rPr>
                <w:sz w:val="20"/>
                <w:szCs w:val="20"/>
                <w:color w:val="auto"/>
              </w:rPr>
            </w:pPr>
            <w:r>
              <w:rPr>
                <w:rFonts w:ascii="Arial" w:cs="Arial" w:eastAsia="Arial" w:hAnsi="Arial"/>
                <w:sz w:val="14"/>
                <w:szCs w:val="14"/>
                <w:color w:val="auto"/>
              </w:rPr>
              <w:t>Income from Operations</w:t>
            </w:r>
          </w:p>
        </w:tc>
        <w:tc>
          <w:tcPr>
            <w:tcW w:w="240" w:type="dxa"/>
            <w:vAlign w:val="bottom"/>
          </w:tcPr>
          <w:p>
            <w:pPr>
              <w:jc w:val="right"/>
              <w:ind w:right="61"/>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120"/>
              <w:spacing w:after="0"/>
              <w:rPr>
                <w:sz w:val="20"/>
                <w:szCs w:val="20"/>
                <w:color w:val="auto"/>
              </w:rPr>
            </w:pPr>
            <w:r>
              <w:rPr>
                <w:rFonts w:ascii="Arial" w:cs="Arial" w:eastAsia="Arial" w:hAnsi="Arial"/>
                <w:sz w:val="16"/>
                <w:szCs w:val="16"/>
                <w:color w:val="auto"/>
              </w:rPr>
              <w:t>115,303</w:t>
            </w:r>
          </w:p>
        </w:tc>
        <w:tc>
          <w:tcPr>
            <w:tcW w:w="100" w:type="dxa"/>
            <w:vAlign w:val="bottom"/>
          </w:tcPr>
          <w:p>
            <w:pPr>
              <w:spacing w:after="0"/>
              <w:rPr>
                <w:sz w:val="18"/>
                <w:szCs w:val="18"/>
                <w:color w:val="auto"/>
              </w:rPr>
            </w:pPr>
          </w:p>
        </w:tc>
        <w:tc>
          <w:tcPr>
            <w:tcW w:w="320" w:type="dxa"/>
            <w:vAlign w:val="bottom"/>
          </w:tcPr>
          <w:p>
            <w:pPr>
              <w:jc w:val="right"/>
              <w:ind w:right="121"/>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40"/>
              <w:spacing w:after="0"/>
              <w:rPr>
                <w:sz w:val="20"/>
                <w:szCs w:val="20"/>
                <w:color w:val="auto"/>
              </w:rPr>
            </w:pPr>
            <w:r>
              <w:rPr>
                <w:rFonts w:ascii="Arial" w:cs="Arial" w:eastAsia="Arial" w:hAnsi="Arial"/>
                <w:sz w:val="16"/>
                <w:szCs w:val="16"/>
                <w:color w:val="auto"/>
              </w:rPr>
              <w:t>6,069</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ind w:right="120"/>
              <w:spacing w:after="0"/>
              <w:rPr>
                <w:sz w:val="20"/>
                <w:szCs w:val="20"/>
                <w:color w:val="auto"/>
              </w:rPr>
            </w:pPr>
            <w:r>
              <w:rPr>
                <w:rFonts w:ascii="Arial" w:cs="Arial" w:eastAsia="Arial" w:hAnsi="Arial"/>
                <w:sz w:val="16"/>
                <w:szCs w:val="16"/>
                <w:color w:val="auto"/>
              </w:rPr>
              <w:t>17,078</w:t>
            </w:r>
          </w:p>
        </w:tc>
        <w:tc>
          <w:tcPr>
            <w:tcW w:w="100" w:type="dxa"/>
            <w:vAlign w:val="bottom"/>
          </w:tcPr>
          <w:p>
            <w:pPr>
              <w:spacing w:after="0"/>
              <w:rPr>
                <w:sz w:val="18"/>
                <w:szCs w:val="18"/>
                <w:color w:val="auto"/>
              </w:rPr>
            </w:pPr>
          </w:p>
        </w:tc>
        <w:tc>
          <w:tcPr>
            <w:tcW w:w="120" w:type="dxa"/>
            <w:vAlign w:val="bottom"/>
          </w:tcPr>
          <w:p>
            <w:pPr>
              <w:ind w:left="20"/>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(30,347)</w:t>
            </w:r>
          </w:p>
        </w:tc>
        <w:tc>
          <w:tcPr>
            <w:tcW w:w="100" w:type="dxa"/>
            <w:vAlign w:val="bottom"/>
          </w:tcPr>
          <w:p>
            <w:pPr>
              <w:spacing w:after="0"/>
              <w:rPr>
                <w:sz w:val="18"/>
                <w:szCs w:val="18"/>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120"/>
              <w:spacing w:after="0"/>
              <w:rPr>
                <w:sz w:val="20"/>
                <w:szCs w:val="20"/>
                <w:color w:val="auto"/>
              </w:rPr>
            </w:pPr>
            <w:r>
              <w:rPr>
                <w:rFonts w:ascii="Arial" w:cs="Arial" w:eastAsia="Arial" w:hAnsi="Arial"/>
                <w:sz w:val="16"/>
                <w:szCs w:val="16"/>
                <w:color w:val="auto"/>
              </w:rPr>
              <w:t>108,103</w:t>
            </w:r>
          </w:p>
        </w:tc>
        <w:tc>
          <w:tcPr>
            <w:tcW w:w="0" w:type="dxa"/>
            <w:vAlign w:val="bottom"/>
          </w:tcPr>
          <w:p>
            <w:pPr>
              <w:spacing w:after="0"/>
              <w:rPr>
                <w:sz w:val="1"/>
                <w:szCs w:val="1"/>
                <w:color w:val="auto"/>
              </w:rPr>
            </w:pPr>
          </w:p>
        </w:tc>
      </w:tr>
      <w:tr>
        <w:trPr>
          <w:trHeight w:val="217"/>
        </w:trPr>
        <w:tc>
          <w:tcPr>
            <w:tcW w:w="352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Restructuring Charges (1)</w:t>
            </w: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3,512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572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4,115</w:t>
            </w:r>
          </w:p>
        </w:tc>
        <w:tc>
          <w:tcPr>
            <w:tcW w:w="0" w:type="dxa"/>
            <w:vAlign w:val="bottom"/>
          </w:tcPr>
          <w:p>
            <w:pPr>
              <w:spacing w:after="0"/>
              <w:rPr>
                <w:sz w:val="1"/>
                <w:szCs w:val="1"/>
                <w:color w:val="auto"/>
              </w:rPr>
            </w:pPr>
          </w:p>
        </w:tc>
      </w:tr>
      <w:tr>
        <w:trPr>
          <w:trHeight w:val="215"/>
        </w:trPr>
        <w:tc>
          <w:tcPr>
            <w:tcW w:w="3520" w:type="dxa"/>
            <w:vAlign w:val="bottom"/>
          </w:tcPr>
          <w:p>
            <w:pPr>
              <w:ind w:left="20"/>
              <w:spacing w:after="0"/>
              <w:rPr>
                <w:sz w:val="20"/>
                <w:szCs w:val="20"/>
                <w:color w:val="auto"/>
              </w:rPr>
            </w:pPr>
            <w:r>
              <w:rPr>
                <w:rFonts w:ascii="Arial" w:cs="Arial" w:eastAsia="Arial" w:hAnsi="Arial"/>
                <w:sz w:val="14"/>
                <w:szCs w:val="14"/>
                <w:color w:val="auto"/>
              </w:rPr>
              <w:t>Acquisition Related Costs (2)</w:t>
            </w:r>
          </w:p>
        </w:tc>
        <w:tc>
          <w:tcPr>
            <w:tcW w:w="240" w:type="dxa"/>
            <w:vAlign w:val="bottom"/>
          </w:tcPr>
          <w:p>
            <w:pPr>
              <w:spacing w:after="0"/>
              <w:rPr>
                <w:sz w:val="18"/>
                <w:szCs w:val="18"/>
                <w:color w:val="auto"/>
              </w:rPr>
            </w:pPr>
          </w:p>
        </w:tc>
        <w:tc>
          <w:tcPr>
            <w:tcW w:w="1220" w:type="dxa"/>
            <w:vAlign w:val="bottom"/>
          </w:tcPr>
          <w:p>
            <w:pPr>
              <w:jc w:val="right"/>
              <w:ind w:right="120"/>
              <w:spacing w:after="0"/>
              <w:rPr>
                <w:sz w:val="20"/>
                <w:szCs w:val="20"/>
                <w:color w:val="auto"/>
              </w:rPr>
            </w:pPr>
            <w:r>
              <w:rPr>
                <w:rFonts w:ascii="Arial" w:cs="Arial" w:eastAsia="Arial" w:hAnsi="Arial"/>
                <w:sz w:val="16"/>
                <w:szCs w:val="16"/>
                <w:color w:val="auto"/>
              </w:rPr>
              <w:t>475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jc w:val="right"/>
              <w:ind w:right="140"/>
              <w:spacing w:after="0"/>
              <w:rPr>
                <w:sz w:val="20"/>
                <w:szCs w:val="20"/>
                <w:color w:val="auto"/>
              </w:rPr>
            </w:pPr>
            <w:r>
              <w:rPr>
                <w:rFonts w:ascii="Arial" w:cs="Arial" w:eastAsia="Arial" w:hAnsi="Arial"/>
                <w:sz w:val="16"/>
                <w:szCs w:val="16"/>
                <w:color w:val="auto"/>
              </w:rPr>
              <w:t>4,575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4,485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jc w:val="right"/>
              <w:ind w:right="120"/>
              <w:spacing w:after="0"/>
              <w:rPr>
                <w:sz w:val="20"/>
                <w:szCs w:val="20"/>
                <w:color w:val="auto"/>
              </w:rPr>
            </w:pPr>
            <w:r>
              <w:rPr>
                <w:rFonts w:ascii="Arial" w:cs="Arial" w:eastAsia="Arial" w:hAnsi="Arial"/>
                <w:sz w:val="16"/>
                <w:szCs w:val="16"/>
                <w:color w:val="auto"/>
              </w:rPr>
              <w:t>9,535</w:t>
            </w:r>
          </w:p>
        </w:tc>
        <w:tc>
          <w:tcPr>
            <w:tcW w:w="0" w:type="dxa"/>
            <w:vAlign w:val="bottom"/>
          </w:tcPr>
          <w:p>
            <w:pPr>
              <w:spacing w:after="0"/>
              <w:rPr>
                <w:sz w:val="1"/>
                <w:szCs w:val="1"/>
                <w:color w:val="auto"/>
              </w:rPr>
            </w:pPr>
          </w:p>
        </w:tc>
      </w:tr>
      <w:tr>
        <w:trPr>
          <w:trHeight w:val="235"/>
        </w:trPr>
        <w:tc>
          <w:tcPr>
            <w:tcW w:w="35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Adjusted Income from Operations</w:t>
            </w:r>
          </w:p>
        </w:tc>
        <w:tc>
          <w:tcPr>
            <w:tcW w:w="240" w:type="dxa"/>
            <w:vAlign w:val="bottom"/>
            <w:tcBorders>
              <w:top w:val="single" w:sz="8" w:color="auto"/>
              <w:bottom w:val="single" w:sz="8" w:color="auto"/>
            </w:tcBorders>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119,290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bottom w:val="single" w:sz="8" w:color="auto"/>
            </w:tcBorders>
            <w:shd w:val="clear" w:color="auto" w:fill="CCEEFF"/>
          </w:tcPr>
          <w:p>
            <w:pPr>
              <w:jc w:val="right"/>
              <w:ind w:right="140"/>
              <w:spacing w:after="0"/>
              <w:rPr>
                <w:sz w:val="20"/>
                <w:szCs w:val="20"/>
                <w:color w:val="auto"/>
              </w:rPr>
            </w:pPr>
            <w:r>
              <w:rPr>
                <w:rFonts w:ascii="Arial" w:cs="Arial" w:eastAsia="Arial" w:hAnsi="Arial"/>
                <w:sz w:val="16"/>
                <w:szCs w:val="16"/>
                <w:color w:val="auto"/>
              </w:rPr>
              <w:t>11,216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17,078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(25,831)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121,753</w:t>
            </w:r>
          </w:p>
        </w:tc>
        <w:tc>
          <w:tcPr>
            <w:tcW w:w="0" w:type="dxa"/>
            <w:vAlign w:val="bottom"/>
          </w:tcPr>
          <w:p>
            <w:pPr>
              <w:spacing w:after="0"/>
              <w:rPr>
                <w:sz w:val="1"/>
                <w:szCs w:val="1"/>
                <w:color w:val="auto"/>
              </w:rPr>
            </w:pPr>
          </w:p>
        </w:tc>
      </w:tr>
      <w:tr>
        <w:trPr>
          <w:trHeight w:val="20"/>
        </w:trPr>
        <w:tc>
          <w:tcPr>
            <w:tcW w:w="35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Sales</w:t>
            </w:r>
          </w:p>
        </w:tc>
        <w:tc>
          <w:tcPr>
            <w:tcW w:w="24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640,538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156,697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69,578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866,813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162560</wp:posOffset>
            </wp:positionV>
            <wp:extent cx="7132320"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241" w:lineRule="exact"/>
        <w:rPr>
          <w:sz w:val="20"/>
          <w:szCs w:val="20"/>
          <w:color w:val="auto"/>
        </w:rPr>
      </w:pPr>
    </w:p>
    <w:p>
      <w:pPr>
        <w:ind w:left="240" w:hanging="214"/>
        <w:spacing w:after="0"/>
        <w:tabs>
          <w:tab w:leader="none" w:pos="240" w:val="left"/>
        </w:tabs>
        <w:numPr>
          <w:ilvl w:val="0"/>
          <w:numId w:val="13"/>
        </w:numPr>
        <w:rPr>
          <w:rFonts w:ascii="Arial" w:cs="Arial" w:eastAsia="Arial" w:hAnsi="Arial"/>
          <w:sz w:val="14"/>
          <w:szCs w:val="14"/>
          <w:color w:val="auto"/>
        </w:rPr>
      </w:pPr>
      <w:r>
        <w:rPr>
          <w:rFonts w:ascii="Arial" w:cs="Arial" w:eastAsia="Arial" w:hAnsi="Arial"/>
          <w:sz w:val="14"/>
          <w:szCs w:val="14"/>
          <w:color w:val="auto"/>
        </w:rPr>
        <w:t>Comprised primarily of exit activities costs</w:t>
      </w:r>
    </w:p>
    <w:p>
      <w:pPr>
        <w:spacing w:after="0" w:line="41" w:lineRule="exact"/>
        <w:rPr>
          <w:rFonts w:ascii="Arial" w:cs="Arial" w:eastAsia="Arial" w:hAnsi="Arial"/>
          <w:sz w:val="14"/>
          <w:szCs w:val="14"/>
          <w:color w:val="auto"/>
        </w:rPr>
      </w:pPr>
    </w:p>
    <w:p>
      <w:pPr>
        <w:ind w:left="240" w:hanging="214"/>
        <w:spacing w:after="0"/>
        <w:tabs>
          <w:tab w:leader="none" w:pos="240" w:val="left"/>
        </w:tabs>
        <w:numPr>
          <w:ilvl w:val="0"/>
          <w:numId w:val="13"/>
        </w:numPr>
        <w:rPr>
          <w:rFonts w:ascii="Arial" w:cs="Arial" w:eastAsia="Arial" w:hAnsi="Arial"/>
          <w:sz w:val="14"/>
          <w:szCs w:val="14"/>
          <w:color w:val="auto"/>
        </w:rPr>
      </w:pPr>
      <w:r>
        <w:rPr>
          <w:rFonts w:ascii="Arial" w:cs="Arial" w:eastAsia="Arial" w:hAnsi="Arial"/>
          <w:sz w:val="14"/>
          <w:szCs w:val="14"/>
          <w:color w:val="auto"/>
        </w:rPr>
        <w:t>Represents acquisition related expenses including due diligence and integration costs of recent business combinations</w:t>
      </w:r>
    </w:p>
    <w:p>
      <w:pPr>
        <w:spacing w:after="0" w:line="41" w:lineRule="exact"/>
        <w:rPr>
          <w:rFonts w:ascii="Arial" w:cs="Arial" w:eastAsia="Arial" w:hAnsi="Arial"/>
          <w:sz w:val="14"/>
          <w:szCs w:val="14"/>
          <w:color w:val="auto"/>
        </w:rPr>
      </w:pPr>
    </w:p>
    <w:p>
      <w:pPr>
        <w:ind w:left="240" w:hanging="214"/>
        <w:spacing w:after="0"/>
        <w:tabs>
          <w:tab w:leader="none" w:pos="240" w:val="left"/>
        </w:tabs>
        <w:numPr>
          <w:ilvl w:val="0"/>
          <w:numId w:val="13"/>
        </w:numPr>
        <w:rPr>
          <w:rFonts w:ascii="Arial" w:cs="Arial" w:eastAsia="Arial" w:hAnsi="Arial"/>
          <w:sz w:val="14"/>
          <w:szCs w:val="14"/>
          <w:color w:val="auto"/>
        </w:rPr>
      </w:pPr>
      <w:r>
        <w:rPr>
          <w:rFonts w:ascii="Arial" w:cs="Arial" w:eastAsia="Arial" w:hAnsi="Arial"/>
          <w:sz w:val="14"/>
          <w:szCs w:val="14"/>
          <w:color w:val="auto"/>
        </w:rPr>
        <w:t>Includes one-time gain of $2M from an acquisition-related item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-104140</wp:posOffset>
            </wp:positionV>
            <wp:extent cx="7132320" cy="1289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5205730</wp:posOffset>
            </wp:positionH>
            <wp:positionV relativeFrom="page">
              <wp:posOffset>243205</wp:posOffset>
            </wp:positionV>
            <wp:extent cx="2134235" cy="2743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clrChange>
                        <a:clrFrom>
                          <a:srgbClr val="FFFFFF"/>
                        </a:clrFrom>
                        <a:clrTo>
                          <a:srgbClr val="FFFFFF">
                            <a:alpha val="0"/>
                          </a:srgbClr>
                        </a:clrTo>
                      </a:clrChange>
                      <a:extLst>
                        <a:ext uri="{28A0092B-C50C-407E-A947-70E740481C1C}"/>
                      </a:extLst>
                    </a:blip>
                    <a:srcRect/>
                    <a:stretch>
                      <a:fillRect/>
                    </a:stretch>
                  </pic:blipFill>
                  <pic:spPr bwMode="auto">
                    <a:xfrm>
                      <a:off x="0" y="0"/>
                      <a:ext cx="2134235" cy="274320"/>
                    </a:xfrm>
                    <a:prstGeom prst="rect">
                      <a:avLst/>
                    </a:prstGeom>
                    <a:noFill/>
                  </pic:spPr>
                </pic:pic>
              </a:graphicData>
            </a:graphic>
          </wp:anchor>
        </w:drawing>
        <w:t>GIBRALTAR INDUSTRIES,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Reconciliation of GAAP and Adjusted Financial Measures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Year Ended December 31, 2025</w:t>
      </w:r>
    </w:p>
    <w:p>
      <w:pPr>
        <w:spacing w:after="0" w:line="24" w:lineRule="exact"/>
        <w:rPr>
          <w:sz w:val="20"/>
          <w:szCs w:val="20"/>
          <w:color w:val="auto"/>
        </w:rPr>
      </w:pPr>
    </w:p>
    <w:tbl>
      <w:tblPr>
        <w:tblLayout w:type="fixed"/>
        <w:tblInd w:w="3600" w:type="dxa"/>
        <w:tblCellMar>
          <w:top w:w="0" w:type="dxa"/>
          <w:left w:w="0" w:type="dxa"/>
          <w:bottom w:w="0" w:type="dxa"/>
          <w:right w:w="0" w:type="dxa"/>
        </w:tblCellMar>
      </w:tblPr>
      <w:tr>
        <w:trPr>
          <w:trHeight w:val="161"/>
        </w:trPr>
        <w:tc>
          <w:tcPr>
            <w:tcW w:w="1440" w:type="dxa"/>
            <w:vAlign w:val="bottom"/>
          </w:tcPr>
          <w:p>
            <w:pPr>
              <w:spacing w:after="0"/>
              <w:rPr>
                <w:sz w:val="14"/>
                <w:szCs w:val="14"/>
                <w:color w:val="auto"/>
              </w:rPr>
            </w:pPr>
          </w:p>
        </w:tc>
        <w:tc>
          <w:tcPr>
            <w:tcW w:w="1580" w:type="dxa"/>
            <w:vAlign w:val="bottom"/>
            <w:vMerge w:val="restart"/>
          </w:tcPr>
          <w:p>
            <w:pPr>
              <w:jc w:val="center"/>
              <w:spacing w:after="0"/>
              <w:rPr>
                <w:sz w:val="20"/>
                <w:szCs w:val="20"/>
                <w:color w:val="auto"/>
              </w:rPr>
            </w:pPr>
            <w:r>
              <w:rPr>
                <w:rFonts w:ascii="Arial" w:cs="Arial" w:eastAsia="Arial" w:hAnsi="Arial"/>
                <w:sz w:val="14"/>
                <w:szCs w:val="14"/>
                <w:color w:val="auto"/>
              </w:rPr>
              <w:t>Provision for income</w:t>
            </w:r>
          </w:p>
        </w:tc>
        <w:tc>
          <w:tcPr>
            <w:tcW w:w="1560" w:type="dxa"/>
            <w:vAlign w:val="bottom"/>
            <w:vMerge w:val="restart"/>
          </w:tcPr>
          <w:p>
            <w:pPr>
              <w:jc w:val="center"/>
              <w:spacing w:after="0"/>
              <w:rPr>
                <w:sz w:val="20"/>
                <w:szCs w:val="20"/>
                <w:color w:val="auto"/>
              </w:rPr>
            </w:pPr>
            <w:r>
              <w:rPr>
                <w:rFonts w:ascii="Arial" w:cs="Arial" w:eastAsia="Arial" w:hAnsi="Arial"/>
                <w:sz w:val="14"/>
                <w:szCs w:val="14"/>
                <w:color w:val="auto"/>
              </w:rPr>
              <w:t>Net income from</w:t>
            </w:r>
          </w:p>
        </w:tc>
        <w:tc>
          <w:tcPr>
            <w:tcW w:w="1460" w:type="dxa"/>
            <w:vAlign w:val="bottom"/>
          </w:tcPr>
          <w:p>
            <w:pPr>
              <w:jc w:val="center"/>
              <w:ind w:left="28"/>
              <w:spacing w:after="0"/>
              <w:rPr>
                <w:sz w:val="20"/>
                <w:szCs w:val="20"/>
                <w:color w:val="auto"/>
              </w:rPr>
            </w:pPr>
            <w:r>
              <w:rPr>
                <w:rFonts w:ascii="Arial" w:cs="Arial" w:eastAsia="Arial" w:hAnsi="Arial"/>
                <w:sz w:val="14"/>
                <w:szCs w:val="14"/>
                <w:color w:val="auto"/>
              </w:rPr>
              <w:t>Net income from</w:t>
            </w:r>
          </w:p>
        </w:tc>
        <w:tc>
          <w:tcPr>
            <w:tcW w:w="0" w:type="dxa"/>
            <w:vAlign w:val="bottom"/>
          </w:tcPr>
          <w:p>
            <w:pPr>
              <w:spacing w:after="0"/>
              <w:rPr>
                <w:sz w:val="1"/>
                <w:szCs w:val="1"/>
                <w:color w:val="auto"/>
              </w:rPr>
            </w:pPr>
          </w:p>
        </w:tc>
      </w:tr>
      <w:tr>
        <w:trPr>
          <w:trHeight w:val="144"/>
        </w:trPr>
        <w:tc>
          <w:tcPr>
            <w:tcW w:w="1440" w:type="dxa"/>
            <w:vAlign w:val="bottom"/>
            <w:vMerge w:val="restart"/>
          </w:tcPr>
          <w:p>
            <w:pPr>
              <w:spacing w:after="0"/>
              <w:rPr>
                <w:sz w:val="20"/>
                <w:szCs w:val="20"/>
                <w:color w:val="auto"/>
              </w:rPr>
            </w:pPr>
            <w:r>
              <w:rPr>
                <w:rFonts w:ascii="Arial" w:cs="Arial" w:eastAsia="Arial" w:hAnsi="Arial"/>
                <w:sz w:val="14"/>
                <w:szCs w:val="14"/>
                <w:color w:val="auto"/>
              </w:rPr>
              <w:t>Income before taxes</w:t>
            </w:r>
          </w:p>
        </w:tc>
        <w:tc>
          <w:tcPr>
            <w:tcW w:w="1580" w:type="dxa"/>
            <w:vAlign w:val="bottom"/>
            <w:vMerge w:val="continue"/>
          </w:tcPr>
          <w:p>
            <w:pPr>
              <w:spacing w:after="0"/>
              <w:rPr>
                <w:sz w:val="12"/>
                <w:szCs w:val="12"/>
                <w:color w:val="auto"/>
              </w:rPr>
            </w:pPr>
          </w:p>
        </w:tc>
        <w:tc>
          <w:tcPr>
            <w:tcW w:w="1560" w:type="dxa"/>
            <w:vAlign w:val="bottom"/>
            <w:vMerge w:val="continue"/>
          </w:tcPr>
          <w:p>
            <w:pPr>
              <w:spacing w:after="0"/>
              <w:rPr>
                <w:sz w:val="12"/>
                <w:szCs w:val="12"/>
                <w:color w:val="auto"/>
              </w:rPr>
            </w:pPr>
          </w:p>
        </w:tc>
        <w:tc>
          <w:tcPr>
            <w:tcW w:w="1460" w:type="dxa"/>
            <w:vAlign w:val="bottom"/>
          </w:tcPr>
          <w:p>
            <w:pPr>
              <w:jc w:val="center"/>
              <w:ind w:left="28"/>
              <w:spacing w:after="0" w:line="145" w:lineRule="exact"/>
              <w:rPr>
                <w:sz w:val="20"/>
                <w:szCs w:val="20"/>
                <w:color w:val="auto"/>
              </w:rPr>
            </w:pPr>
            <w:r>
              <w:rPr>
                <w:rFonts w:ascii="Arial" w:cs="Arial" w:eastAsia="Arial" w:hAnsi="Arial"/>
                <w:sz w:val="14"/>
                <w:szCs w:val="14"/>
                <w:color w:val="auto"/>
              </w:rPr>
              <w:t>continuing operations</w:t>
            </w:r>
          </w:p>
        </w:tc>
        <w:tc>
          <w:tcPr>
            <w:tcW w:w="0" w:type="dxa"/>
            <w:vAlign w:val="bottom"/>
          </w:tcPr>
          <w:p>
            <w:pPr>
              <w:spacing w:after="0"/>
              <w:rPr>
                <w:sz w:val="1"/>
                <w:szCs w:val="1"/>
                <w:color w:val="auto"/>
              </w:rPr>
            </w:pPr>
          </w:p>
        </w:tc>
      </w:tr>
      <w:tr>
        <w:trPr>
          <w:trHeight w:val="189"/>
        </w:trPr>
        <w:tc>
          <w:tcPr>
            <w:tcW w:w="1440" w:type="dxa"/>
            <w:vAlign w:val="bottom"/>
            <w:vMerge w:val="continue"/>
          </w:tcPr>
          <w:p>
            <w:pPr>
              <w:spacing w:after="0"/>
              <w:rPr>
                <w:sz w:val="16"/>
                <w:szCs w:val="16"/>
                <w:color w:val="auto"/>
              </w:rPr>
            </w:pPr>
          </w:p>
        </w:tc>
        <w:tc>
          <w:tcPr>
            <w:tcW w:w="1580" w:type="dxa"/>
            <w:vAlign w:val="bottom"/>
          </w:tcPr>
          <w:p>
            <w:pPr>
              <w:jc w:val="center"/>
              <w:spacing w:after="0"/>
              <w:rPr>
                <w:sz w:val="20"/>
                <w:szCs w:val="20"/>
                <w:color w:val="auto"/>
              </w:rPr>
            </w:pPr>
            <w:r>
              <w:rPr>
                <w:rFonts w:ascii="Arial" w:cs="Arial" w:eastAsia="Arial" w:hAnsi="Arial"/>
                <w:sz w:val="14"/>
                <w:szCs w:val="14"/>
                <w:color w:val="auto"/>
              </w:rPr>
              <w:t>taxes</w:t>
            </w:r>
          </w:p>
        </w:tc>
        <w:tc>
          <w:tcPr>
            <w:tcW w:w="1560" w:type="dxa"/>
            <w:vAlign w:val="bottom"/>
          </w:tcPr>
          <w:p>
            <w:pPr>
              <w:jc w:val="center"/>
              <w:spacing w:after="0"/>
              <w:rPr>
                <w:sz w:val="20"/>
                <w:szCs w:val="20"/>
                <w:color w:val="auto"/>
              </w:rPr>
            </w:pPr>
            <w:r>
              <w:rPr>
                <w:rFonts w:ascii="Arial" w:cs="Arial" w:eastAsia="Arial" w:hAnsi="Arial"/>
                <w:sz w:val="14"/>
                <w:szCs w:val="14"/>
                <w:color w:val="auto"/>
              </w:rPr>
              <w:t>continuing operations</w:t>
            </w:r>
          </w:p>
        </w:tc>
        <w:tc>
          <w:tcPr>
            <w:tcW w:w="1460" w:type="dxa"/>
            <w:vAlign w:val="bottom"/>
          </w:tcPr>
          <w:p>
            <w:pPr>
              <w:jc w:val="center"/>
              <w:ind w:left="28"/>
              <w:spacing w:after="0"/>
              <w:rPr>
                <w:sz w:val="20"/>
                <w:szCs w:val="20"/>
                <w:color w:val="auto"/>
              </w:rPr>
            </w:pPr>
            <w:r>
              <w:rPr>
                <w:rFonts w:ascii="Arial" w:cs="Arial" w:eastAsia="Arial" w:hAnsi="Arial"/>
                <w:sz w:val="14"/>
                <w:szCs w:val="14"/>
                <w:color w:val="auto"/>
              </w:rPr>
              <w:t>per share - diluted</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35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As Reported in GAAP Statements</w:t>
            </w: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126,576</w:t>
            </w: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tcBorders>
            <w:shd w:val="clear" w:color="auto" w:fill="CCEEFF"/>
          </w:tcPr>
          <w:p>
            <w:pPr>
              <w:jc w:val="right"/>
              <w:ind w:right="140"/>
              <w:spacing w:after="0"/>
              <w:rPr>
                <w:sz w:val="20"/>
                <w:szCs w:val="20"/>
                <w:color w:val="auto"/>
              </w:rPr>
            </w:pPr>
            <w:r>
              <w:rPr>
                <w:rFonts w:ascii="Arial" w:cs="Arial" w:eastAsia="Arial" w:hAnsi="Arial"/>
                <w:sz w:val="16"/>
                <w:szCs w:val="16"/>
                <w:color w:val="auto"/>
              </w:rPr>
              <w:t>29,020</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97,556</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3.25</w:t>
            </w: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CCEEFF"/>
            </w:tcBorders>
            <w:shd w:val="clear" w:color="auto" w:fill="CCEEFF"/>
          </w:tcPr>
          <w:p>
            <w:pPr>
              <w:spacing w:after="0"/>
              <w:rPr>
                <w:sz w:val="18"/>
                <w:szCs w:val="18"/>
                <w:color w:val="auto"/>
              </w:rPr>
            </w:pPr>
          </w:p>
        </w:tc>
      </w:tr>
      <w:tr>
        <w:trPr>
          <w:trHeight w:val="215"/>
        </w:trPr>
        <w:tc>
          <w:tcPr>
            <w:tcW w:w="3520" w:type="dxa"/>
            <w:vAlign w:val="bottom"/>
          </w:tcPr>
          <w:p>
            <w:pPr>
              <w:ind w:left="20"/>
              <w:spacing w:after="0"/>
              <w:rPr>
                <w:sz w:val="20"/>
                <w:szCs w:val="20"/>
                <w:color w:val="auto"/>
              </w:rPr>
            </w:pPr>
            <w:r>
              <w:rPr>
                <w:rFonts w:ascii="Arial" w:cs="Arial" w:eastAsia="Arial" w:hAnsi="Arial"/>
                <w:sz w:val="14"/>
                <w:szCs w:val="14"/>
                <w:color w:val="auto"/>
              </w:rPr>
              <w:t>Restructuring Charges (1)</w:t>
            </w:r>
          </w:p>
        </w:tc>
        <w:tc>
          <w:tcPr>
            <w:tcW w:w="240" w:type="dxa"/>
            <w:vAlign w:val="bottom"/>
          </w:tcPr>
          <w:p>
            <w:pPr>
              <w:spacing w:after="0"/>
              <w:rPr>
                <w:sz w:val="18"/>
                <w:szCs w:val="18"/>
                <w:color w:val="auto"/>
              </w:rPr>
            </w:pPr>
          </w:p>
        </w:tc>
        <w:tc>
          <w:tcPr>
            <w:tcW w:w="1220" w:type="dxa"/>
            <w:vAlign w:val="bottom"/>
          </w:tcPr>
          <w:p>
            <w:pPr>
              <w:jc w:val="right"/>
              <w:ind w:right="120"/>
              <w:spacing w:after="0"/>
              <w:rPr>
                <w:sz w:val="20"/>
                <w:szCs w:val="20"/>
                <w:color w:val="auto"/>
              </w:rPr>
            </w:pPr>
            <w:r>
              <w:rPr>
                <w:rFonts w:ascii="Arial" w:cs="Arial" w:eastAsia="Arial" w:hAnsi="Arial"/>
                <w:sz w:val="16"/>
                <w:szCs w:val="16"/>
                <w:color w:val="auto"/>
              </w:rPr>
              <w:t>8,318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jc w:val="right"/>
              <w:ind w:right="140"/>
              <w:spacing w:after="0"/>
              <w:rPr>
                <w:sz w:val="20"/>
                <w:szCs w:val="20"/>
                <w:color w:val="auto"/>
              </w:rPr>
            </w:pPr>
            <w:r>
              <w:rPr>
                <w:rFonts w:ascii="Arial" w:cs="Arial" w:eastAsia="Arial" w:hAnsi="Arial"/>
                <w:sz w:val="16"/>
                <w:szCs w:val="16"/>
                <w:color w:val="auto"/>
              </w:rPr>
              <w:t>1,988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ind w:right="120"/>
              <w:spacing w:after="0"/>
              <w:rPr>
                <w:sz w:val="20"/>
                <w:szCs w:val="20"/>
                <w:color w:val="auto"/>
              </w:rPr>
            </w:pPr>
            <w:r>
              <w:rPr>
                <w:rFonts w:ascii="Arial" w:cs="Arial" w:eastAsia="Arial" w:hAnsi="Arial"/>
                <w:sz w:val="16"/>
                <w:szCs w:val="16"/>
                <w:color w:val="auto"/>
              </w:rPr>
              <w:t>6,330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0.22</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6"/>
        </w:trPr>
        <w:tc>
          <w:tcPr>
            <w:tcW w:w="35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Acquisition Related Costs (2) (3)</w:t>
            </w:r>
          </w:p>
        </w:tc>
        <w:tc>
          <w:tcPr>
            <w:tcW w:w="2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17,544</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6"/>
                <w:szCs w:val="16"/>
                <w:color w:val="auto"/>
              </w:rPr>
              <w:t>3,836</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13,708</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0.45</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10"/>
        </w:trPr>
        <w:tc>
          <w:tcPr>
            <w:tcW w:w="3520" w:type="dxa"/>
            <w:vAlign w:val="bottom"/>
          </w:tcPr>
          <w:p>
            <w:pPr>
              <w:ind w:left="20"/>
              <w:spacing w:after="0"/>
              <w:rPr>
                <w:sz w:val="20"/>
                <w:szCs w:val="20"/>
                <w:color w:val="auto"/>
              </w:rPr>
            </w:pPr>
            <w:r>
              <w:rPr>
                <w:rFonts w:ascii="Arial" w:cs="Arial" w:eastAsia="Arial" w:hAnsi="Arial"/>
                <w:sz w:val="14"/>
                <w:szCs w:val="14"/>
                <w:color w:val="auto"/>
              </w:rPr>
              <w:t>Adjusted Financial Measures</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152,438</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34,844</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117,594</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3.92</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0"/>
        </w:trPr>
        <w:tc>
          <w:tcPr>
            <w:tcW w:w="35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CCEEFF"/>
            </w:tcBorders>
          </w:tcPr>
          <w:p>
            <w:pPr>
              <w:spacing w:after="0" w:line="20" w:lineRule="exact"/>
              <w:rPr>
                <w:sz w:val="1"/>
                <w:szCs w:val="1"/>
                <w:color w:val="auto"/>
              </w:rPr>
            </w:pPr>
          </w:p>
        </w:tc>
      </w:tr>
      <w:tr>
        <w:trPr>
          <w:trHeight w:val="237"/>
        </w:trPr>
        <w:tc>
          <w:tcPr>
            <w:tcW w:w="35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r>
      <w:tr>
        <w:trPr>
          <w:trHeight w:val="198"/>
        </w:trPr>
        <w:tc>
          <w:tcPr>
            <w:tcW w:w="3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gridSpan w:val="2"/>
          </w:tcPr>
          <w:p>
            <w:pPr>
              <w:ind w:left="140"/>
              <w:spacing w:after="0"/>
              <w:rPr>
                <w:sz w:val="20"/>
                <w:szCs w:val="20"/>
                <w:color w:val="auto"/>
              </w:rPr>
            </w:pPr>
            <w:r>
              <w:rPr>
                <w:rFonts w:ascii="Arial" w:cs="Arial" w:eastAsia="Arial" w:hAnsi="Arial"/>
                <w:sz w:val="14"/>
                <w:szCs w:val="14"/>
                <w:color w:val="auto"/>
              </w:rPr>
              <w:t>Residential</w:t>
            </w:r>
          </w:p>
        </w:tc>
        <w:tc>
          <w:tcPr>
            <w:tcW w:w="320" w:type="dxa"/>
            <w:vAlign w:val="bottom"/>
          </w:tcPr>
          <w:p>
            <w:pPr>
              <w:spacing w:after="0"/>
              <w:rPr>
                <w:sz w:val="17"/>
                <w:szCs w:val="17"/>
                <w:color w:val="auto"/>
              </w:rPr>
            </w:pPr>
          </w:p>
        </w:tc>
        <w:tc>
          <w:tcPr>
            <w:tcW w:w="1300" w:type="dxa"/>
            <w:vAlign w:val="bottom"/>
            <w:gridSpan w:val="2"/>
          </w:tcPr>
          <w:p>
            <w:pPr>
              <w:ind w:left="220"/>
              <w:spacing w:after="0"/>
              <w:rPr>
                <w:sz w:val="20"/>
                <w:szCs w:val="20"/>
                <w:color w:val="auto"/>
              </w:rPr>
            </w:pPr>
            <w:r>
              <w:rPr>
                <w:rFonts w:ascii="Arial" w:cs="Arial" w:eastAsia="Arial" w:hAnsi="Arial"/>
                <w:sz w:val="14"/>
                <w:szCs w:val="14"/>
                <w:color w:val="auto"/>
              </w:rPr>
              <w:t>Agtech</w:t>
            </w:r>
          </w:p>
        </w:tc>
        <w:tc>
          <w:tcPr>
            <w:tcW w:w="200" w:type="dxa"/>
            <w:vAlign w:val="bottom"/>
          </w:tcPr>
          <w:p>
            <w:pPr>
              <w:spacing w:after="0"/>
              <w:rPr>
                <w:sz w:val="17"/>
                <w:szCs w:val="17"/>
                <w:color w:val="auto"/>
              </w:rPr>
            </w:pPr>
          </w:p>
        </w:tc>
        <w:tc>
          <w:tcPr>
            <w:tcW w:w="1340" w:type="dxa"/>
            <w:vAlign w:val="bottom"/>
            <w:gridSpan w:val="2"/>
          </w:tcPr>
          <w:p>
            <w:pPr>
              <w:ind w:left="100"/>
              <w:spacing w:after="0"/>
              <w:rPr>
                <w:sz w:val="20"/>
                <w:szCs w:val="20"/>
                <w:color w:val="auto"/>
              </w:rPr>
            </w:pPr>
            <w:r>
              <w:rPr>
                <w:rFonts w:ascii="Arial" w:cs="Arial" w:eastAsia="Arial" w:hAnsi="Arial"/>
                <w:sz w:val="14"/>
                <w:szCs w:val="14"/>
                <w:color w:val="auto"/>
              </w:rPr>
              <w:t>Infrastructure</w:t>
            </w:r>
          </w:p>
        </w:tc>
        <w:tc>
          <w:tcPr>
            <w:tcW w:w="260" w:type="dxa"/>
            <w:vAlign w:val="bottom"/>
          </w:tcPr>
          <w:p>
            <w:pPr>
              <w:spacing w:after="0"/>
              <w:rPr>
                <w:sz w:val="17"/>
                <w:szCs w:val="17"/>
                <w:color w:val="auto"/>
              </w:rPr>
            </w:pPr>
          </w:p>
        </w:tc>
        <w:tc>
          <w:tcPr>
            <w:tcW w:w="1260" w:type="dxa"/>
            <w:vAlign w:val="bottom"/>
            <w:gridSpan w:val="2"/>
          </w:tcPr>
          <w:p>
            <w:pPr>
              <w:ind w:left="140"/>
              <w:spacing w:after="0"/>
              <w:rPr>
                <w:sz w:val="20"/>
                <w:szCs w:val="20"/>
                <w:color w:val="auto"/>
              </w:rPr>
            </w:pPr>
            <w:r>
              <w:rPr>
                <w:rFonts w:ascii="Arial" w:cs="Arial" w:eastAsia="Arial" w:hAnsi="Arial"/>
                <w:sz w:val="14"/>
                <w:szCs w:val="14"/>
                <w:color w:val="auto"/>
              </w:rPr>
              <w:t>Corporate</w:t>
            </w:r>
          </w:p>
        </w:tc>
        <w:tc>
          <w:tcPr>
            <w:tcW w:w="220" w:type="dxa"/>
            <w:vAlign w:val="bottom"/>
          </w:tcPr>
          <w:p>
            <w:pPr>
              <w:spacing w:after="0"/>
              <w:rPr>
                <w:sz w:val="17"/>
                <w:szCs w:val="17"/>
                <w:color w:val="auto"/>
              </w:rPr>
            </w:pPr>
          </w:p>
        </w:tc>
        <w:tc>
          <w:tcPr>
            <w:tcW w:w="1260" w:type="dxa"/>
            <w:vAlign w:val="bottom"/>
          </w:tcPr>
          <w:p>
            <w:pPr>
              <w:jc w:val="right"/>
              <w:ind w:right="240"/>
              <w:spacing w:after="0"/>
              <w:rPr>
                <w:sz w:val="20"/>
                <w:szCs w:val="20"/>
                <w:color w:val="auto"/>
              </w:rPr>
            </w:pPr>
            <w:r>
              <w:rPr>
                <w:rFonts w:ascii="Arial" w:cs="Arial" w:eastAsia="Arial" w:hAnsi="Arial"/>
                <w:sz w:val="14"/>
                <w:szCs w:val="14"/>
                <w:color w:val="auto"/>
              </w:rPr>
              <w:t>Consolidated</w:t>
            </w:r>
          </w:p>
        </w:tc>
      </w:tr>
      <w:tr>
        <w:trPr>
          <w:trHeight w:val="213"/>
        </w:trPr>
        <w:tc>
          <w:tcPr>
            <w:tcW w:w="35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Operating Margin</w:t>
            </w:r>
          </w:p>
        </w:tc>
        <w:tc>
          <w:tcPr>
            <w:tcW w:w="24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16.6 %</w:t>
            </w: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4.5 %</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23.9 %</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n/a</w:t>
            </w: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10.8 %</w:t>
            </w:r>
          </w:p>
        </w:tc>
      </w:tr>
      <w:tr>
        <w:trPr>
          <w:trHeight w:val="215"/>
        </w:trPr>
        <w:tc>
          <w:tcPr>
            <w:tcW w:w="3520" w:type="dxa"/>
            <w:vAlign w:val="bottom"/>
          </w:tcPr>
          <w:p>
            <w:pPr>
              <w:ind w:left="20"/>
              <w:spacing w:after="0"/>
              <w:rPr>
                <w:sz w:val="20"/>
                <w:szCs w:val="20"/>
                <w:color w:val="auto"/>
              </w:rPr>
            </w:pPr>
            <w:r>
              <w:rPr>
                <w:rFonts w:ascii="Arial" w:cs="Arial" w:eastAsia="Arial" w:hAnsi="Arial"/>
                <w:sz w:val="14"/>
                <w:szCs w:val="14"/>
                <w:color w:val="auto"/>
              </w:rPr>
              <w:t>Restructuring Charges (1)</w:t>
            </w: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0.9 %</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0.6 %</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gridSpan w:val="2"/>
          </w:tcPr>
          <w:p>
            <w:pPr>
              <w:ind w:left="880"/>
              <w:spacing w:after="0"/>
              <w:rPr>
                <w:sz w:val="20"/>
                <w:szCs w:val="20"/>
                <w:color w:val="auto"/>
              </w:rPr>
            </w:pPr>
            <w:r>
              <w:rPr>
                <w:rFonts w:ascii="Arial" w:cs="Arial" w:eastAsia="Arial" w:hAnsi="Arial"/>
                <w:sz w:val="16"/>
                <w:szCs w:val="16"/>
                <w:color w:val="auto"/>
              </w:rPr>
              <w:t>— %</w:t>
            </w:r>
          </w:p>
        </w:tc>
        <w:tc>
          <w:tcPr>
            <w:tcW w:w="26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6"/>
                <w:szCs w:val="16"/>
                <w:color w:val="auto"/>
              </w:rPr>
              <w:t>n/a</w:t>
            </w: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0.7 %</w:t>
            </w:r>
          </w:p>
        </w:tc>
      </w:tr>
      <w:tr>
        <w:trPr>
          <w:trHeight w:val="217"/>
        </w:trPr>
        <w:tc>
          <w:tcPr>
            <w:tcW w:w="35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Acquisition Related Costs (2)</w:t>
            </w: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ind w:left="860"/>
              <w:spacing w:after="0"/>
              <w:rPr>
                <w:sz w:val="20"/>
                <w:szCs w:val="20"/>
                <w:color w:val="auto"/>
              </w:rPr>
            </w:pPr>
            <w:r>
              <w:rPr>
                <w:rFonts w:ascii="Arial" w:cs="Arial" w:eastAsia="Arial" w:hAnsi="Arial"/>
                <w:sz w:val="16"/>
                <w:szCs w:val="16"/>
                <w:color w:val="auto"/>
              </w:rPr>
              <w:t>— %</w:t>
            </w: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2.1 %</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ind w:left="880"/>
              <w:spacing w:after="0"/>
              <w:rPr>
                <w:sz w:val="20"/>
                <w:szCs w:val="20"/>
                <w:color w:val="auto"/>
              </w:rPr>
            </w:pPr>
            <w:r>
              <w:rPr>
                <w:rFonts w:ascii="Arial" w:cs="Arial" w:eastAsia="Arial" w:hAnsi="Arial"/>
                <w:sz w:val="16"/>
                <w:szCs w:val="16"/>
                <w:color w:val="auto"/>
              </w:rPr>
              <w:t>— %</w:t>
            </w:r>
          </w:p>
        </w:tc>
        <w:tc>
          <w:tcPr>
            <w:tcW w:w="2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n/a</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1.6 %</w:t>
            </w:r>
          </w:p>
        </w:tc>
      </w:tr>
      <w:tr>
        <w:trPr>
          <w:trHeight w:val="210"/>
        </w:trPr>
        <w:tc>
          <w:tcPr>
            <w:tcW w:w="3520" w:type="dxa"/>
            <w:vAlign w:val="bottom"/>
          </w:tcPr>
          <w:p>
            <w:pPr>
              <w:ind w:left="20"/>
              <w:spacing w:after="0"/>
              <w:rPr>
                <w:sz w:val="20"/>
                <w:szCs w:val="20"/>
                <w:color w:val="auto"/>
              </w:rPr>
            </w:pPr>
            <w:r>
              <w:rPr>
                <w:rFonts w:ascii="Arial" w:cs="Arial" w:eastAsia="Arial" w:hAnsi="Arial"/>
                <w:sz w:val="14"/>
                <w:szCs w:val="14"/>
                <w:color w:val="auto"/>
              </w:rPr>
              <w:t>Adjusted Operating Margin</w:t>
            </w:r>
          </w:p>
        </w:tc>
        <w:tc>
          <w:tcPr>
            <w:tcW w:w="24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17.6 %</w:t>
            </w:r>
          </w:p>
        </w:tc>
        <w:tc>
          <w:tcPr>
            <w:tcW w:w="100" w:type="dxa"/>
            <w:vAlign w:val="bottom"/>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7.1 %</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23.9 %</w:t>
            </w:r>
          </w:p>
        </w:tc>
        <w:tc>
          <w:tcPr>
            <w:tcW w:w="10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n/a</w:t>
            </w:r>
          </w:p>
        </w:tc>
        <w:tc>
          <w:tcPr>
            <w:tcW w:w="8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13.3 %</w:t>
            </w:r>
          </w:p>
        </w:tc>
      </w:tr>
      <w:tr>
        <w:trPr>
          <w:trHeight w:val="20"/>
        </w:trPr>
        <w:tc>
          <w:tcPr>
            <w:tcW w:w="35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37"/>
        </w:trPr>
        <w:tc>
          <w:tcPr>
            <w:tcW w:w="35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r>
      <w:tr>
        <w:trPr>
          <w:trHeight w:val="215"/>
        </w:trPr>
        <w:tc>
          <w:tcPr>
            <w:tcW w:w="3520" w:type="dxa"/>
            <w:vAlign w:val="bottom"/>
          </w:tcPr>
          <w:p>
            <w:pPr>
              <w:ind w:left="20"/>
              <w:spacing w:after="0"/>
              <w:rPr>
                <w:sz w:val="20"/>
                <w:szCs w:val="20"/>
                <w:color w:val="auto"/>
              </w:rPr>
            </w:pPr>
            <w:r>
              <w:rPr>
                <w:rFonts w:ascii="Arial" w:cs="Arial" w:eastAsia="Arial" w:hAnsi="Arial"/>
                <w:sz w:val="14"/>
                <w:szCs w:val="14"/>
                <w:color w:val="auto"/>
              </w:rPr>
              <w:t>Income from Operations</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120"/>
              <w:spacing w:after="0"/>
              <w:rPr>
                <w:sz w:val="20"/>
                <w:szCs w:val="20"/>
                <w:color w:val="auto"/>
              </w:rPr>
            </w:pPr>
            <w:r>
              <w:rPr>
                <w:rFonts w:ascii="Arial" w:cs="Arial" w:eastAsia="Arial" w:hAnsi="Arial"/>
                <w:sz w:val="16"/>
                <w:szCs w:val="16"/>
                <w:color w:val="auto"/>
              </w:rPr>
              <w:t>137,195</w:t>
            </w:r>
          </w:p>
        </w:tc>
        <w:tc>
          <w:tcPr>
            <w:tcW w:w="100" w:type="dxa"/>
            <w:vAlign w:val="bottom"/>
          </w:tcPr>
          <w:p>
            <w:pPr>
              <w:spacing w:after="0"/>
              <w:rPr>
                <w:sz w:val="18"/>
                <w:szCs w:val="18"/>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40"/>
              <w:spacing w:after="0"/>
              <w:rPr>
                <w:sz w:val="20"/>
                <w:szCs w:val="20"/>
                <w:color w:val="auto"/>
              </w:rPr>
            </w:pPr>
            <w:r>
              <w:rPr>
                <w:rFonts w:ascii="Arial" w:cs="Arial" w:eastAsia="Arial" w:hAnsi="Arial"/>
                <w:sz w:val="16"/>
                <w:szCs w:val="16"/>
                <w:color w:val="auto"/>
              </w:rPr>
              <w:t>9,804</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ind w:right="120"/>
              <w:spacing w:after="0"/>
              <w:rPr>
                <w:sz w:val="20"/>
                <w:szCs w:val="20"/>
                <w:color w:val="auto"/>
              </w:rPr>
            </w:pPr>
            <w:r>
              <w:rPr>
                <w:rFonts w:ascii="Arial" w:cs="Arial" w:eastAsia="Arial" w:hAnsi="Arial"/>
                <w:sz w:val="16"/>
                <w:szCs w:val="16"/>
                <w:color w:val="auto"/>
              </w:rPr>
              <w:t>22,042</w:t>
            </w:r>
          </w:p>
        </w:tc>
        <w:tc>
          <w:tcPr>
            <w:tcW w:w="100" w:type="dxa"/>
            <w:vAlign w:val="bottom"/>
          </w:tcPr>
          <w:p>
            <w:pPr>
              <w:spacing w:after="0"/>
              <w:rPr>
                <w:sz w:val="18"/>
                <w:szCs w:val="18"/>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(46,290)</w:t>
            </w:r>
          </w:p>
        </w:tc>
        <w:tc>
          <w:tcPr>
            <w:tcW w:w="80" w:type="dxa"/>
            <w:vAlign w:val="bottom"/>
          </w:tcPr>
          <w:p>
            <w:pPr>
              <w:spacing w:after="0"/>
              <w:rPr>
                <w:sz w:val="18"/>
                <w:szCs w:val="18"/>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120"/>
              <w:spacing w:after="0"/>
              <w:rPr>
                <w:sz w:val="20"/>
                <w:szCs w:val="20"/>
                <w:color w:val="auto"/>
              </w:rPr>
            </w:pPr>
            <w:r>
              <w:rPr>
                <w:rFonts w:ascii="Arial" w:cs="Arial" w:eastAsia="Arial" w:hAnsi="Arial"/>
                <w:sz w:val="16"/>
                <w:szCs w:val="16"/>
                <w:color w:val="auto"/>
              </w:rPr>
              <w:t>122,751</w:t>
            </w:r>
          </w:p>
        </w:tc>
      </w:tr>
      <w:tr>
        <w:trPr>
          <w:trHeight w:val="217"/>
        </w:trPr>
        <w:tc>
          <w:tcPr>
            <w:tcW w:w="352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Restructuring Charges (1)</w:t>
            </w: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7,034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1,253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8,318</w:t>
            </w:r>
          </w:p>
        </w:tc>
      </w:tr>
      <w:tr>
        <w:trPr>
          <w:trHeight w:val="215"/>
        </w:trPr>
        <w:tc>
          <w:tcPr>
            <w:tcW w:w="3520" w:type="dxa"/>
            <w:vAlign w:val="bottom"/>
          </w:tcPr>
          <w:p>
            <w:pPr>
              <w:ind w:left="20"/>
              <w:spacing w:after="0"/>
              <w:rPr>
                <w:sz w:val="20"/>
                <w:szCs w:val="20"/>
                <w:color w:val="auto"/>
              </w:rPr>
            </w:pPr>
            <w:r>
              <w:rPr>
                <w:rFonts w:ascii="Arial" w:cs="Arial" w:eastAsia="Arial" w:hAnsi="Arial"/>
                <w:sz w:val="14"/>
                <w:szCs w:val="14"/>
                <w:color w:val="auto"/>
              </w:rPr>
              <w:t>Acquisition Related Costs (2)</w:t>
            </w:r>
          </w:p>
        </w:tc>
        <w:tc>
          <w:tcPr>
            <w:tcW w:w="240" w:type="dxa"/>
            <w:vAlign w:val="bottom"/>
          </w:tcPr>
          <w:p>
            <w:pPr>
              <w:spacing w:after="0"/>
              <w:rPr>
                <w:sz w:val="18"/>
                <w:szCs w:val="18"/>
                <w:color w:val="auto"/>
              </w:rPr>
            </w:pPr>
          </w:p>
        </w:tc>
        <w:tc>
          <w:tcPr>
            <w:tcW w:w="1220" w:type="dxa"/>
            <w:vAlign w:val="bottom"/>
          </w:tcPr>
          <w:p>
            <w:pPr>
              <w:jc w:val="right"/>
              <w:ind w:right="120"/>
              <w:spacing w:after="0"/>
              <w:rPr>
                <w:sz w:val="20"/>
                <w:szCs w:val="20"/>
                <w:color w:val="auto"/>
              </w:rPr>
            </w:pPr>
            <w:r>
              <w:rPr>
                <w:rFonts w:ascii="Arial" w:cs="Arial" w:eastAsia="Arial" w:hAnsi="Arial"/>
                <w:sz w:val="16"/>
                <w:szCs w:val="16"/>
                <w:color w:val="auto"/>
              </w:rPr>
              <w:t>669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jc w:val="right"/>
              <w:ind w:right="140"/>
              <w:spacing w:after="0"/>
              <w:rPr>
                <w:sz w:val="20"/>
                <w:szCs w:val="20"/>
                <w:color w:val="auto"/>
              </w:rPr>
            </w:pPr>
            <w:r>
              <w:rPr>
                <w:rFonts w:ascii="Arial" w:cs="Arial" w:eastAsia="Arial" w:hAnsi="Arial"/>
                <w:sz w:val="16"/>
                <w:szCs w:val="16"/>
                <w:color w:val="auto"/>
              </w:rPr>
              <w:t>4,580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14,521</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right"/>
              <w:ind w:right="120"/>
              <w:spacing w:after="0"/>
              <w:rPr>
                <w:sz w:val="20"/>
                <w:szCs w:val="20"/>
                <w:color w:val="auto"/>
              </w:rPr>
            </w:pPr>
            <w:r>
              <w:rPr>
                <w:rFonts w:ascii="Arial" w:cs="Arial" w:eastAsia="Arial" w:hAnsi="Arial"/>
                <w:sz w:val="16"/>
                <w:szCs w:val="16"/>
                <w:color w:val="auto"/>
              </w:rPr>
              <w:t>19,770</w:t>
            </w:r>
          </w:p>
        </w:tc>
      </w:tr>
      <w:tr>
        <w:trPr>
          <w:trHeight w:val="235"/>
        </w:trPr>
        <w:tc>
          <w:tcPr>
            <w:tcW w:w="35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Adjusted Income from Operations</w:t>
            </w:r>
          </w:p>
        </w:tc>
        <w:tc>
          <w:tcPr>
            <w:tcW w:w="24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144,898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bottom w:val="single" w:sz="8" w:color="auto"/>
            </w:tcBorders>
            <w:shd w:val="clear" w:color="auto" w:fill="CCEEFF"/>
          </w:tcPr>
          <w:p>
            <w:pPr>
              <w:jc w:val="right"/>
              <w:ind w:right="140"/>
              <w:spacing w:after="0"/>
              <w:rPr>
                <w:sz w:val="20"/>
                <w:szCs w:val="20"/>
                <w:color w:val="auto"/>
              </w:rPr>
            </w:pPr>
            <w:r>
              <w:rPr>
                <w:rFonts w:ascii="Arial" w:cs="Arial" w:eastAsia="Arial" w:hAnsi="Arial"/>
                <w:sz w:val="16"/>
                <w:szCs w:val="16"/>
                <w:color w:val="auto"/>
              </w:rPr>
              <w:t>15,637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22,042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(31,738)</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150,839</w:t>
            </w:r>
          </w:p>
        </w:tc>
      </w:tr>
      <w:tr>
        <w:trPr>
          <w:trHeight w:val="20"/>
        </w:trPr>
        <w:tc>
          <w:tcPr>
            <w:tcW w:w="35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3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6"/>
        </w:trPr>
        <w:tc>
          <w:tcPr>
            <w:tcW w:w="35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Sales</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824,079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219,301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92,121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1,135,501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254" w:lineRule="exact"/>
        <w:rPr>
          <w:sz w:val="20"/>
          <w:szCs w:val="20"/>
          <w:color w:val="auto"/>
        </w:rPr>
      </w:pPr>
    </w:p>
    <w:p>
      <w:pPr>
        <w:ind w:left="240" w:hanging="214"/>
        <w:spacing w:after="0"/>
        <w:tabs>
          <w:tab w:leader="none" w:pos="240" w:val="left"/>
        </w:tabs>
        <w:numPr>
          <w:ilvl w:val="0"/>
          <w:numId w:val="14"/>
        </w:numPr>
        <w:rPr>
          <w:rFonts w:ascii="Arial" w:cs="Arial" w:eastAsia="Arial" w:hAnsi="Arial"/>
          <w:sz w:val="14"/>
          <w:szCs w:val="14"/>
          <w:color w:val="auto"/>
        </w:rPr>
      </w:pPr>
      <w:r>
        <w:rPr>
          <w:rFonts w:ascii="Arial" w:cs="Arial" w:eastAsia="Arial" w:hAnsi="Arial"/>
          <w:sz w:val="14"/>
          <w:szCs w:val="14"/>
          <w:color w:val="auto"/>
        </w:rPr>
        <w:t>Comprised primarily of exit activities costs</w:t>
      </w:r>
    </w:p>
    <w:p>
      <w:pPr>
        <w:spacing w:after="0" w:line="41" w:lineRule="exact"/>
        <w:rPr>
          <w:rFonts w:ascii="Arial" w:cs="Arial" w:eastAsia="Arial" w:hAnsi="Arial"/>
          <w:sz w:val="14"/>
          <w:szCs w:val="14"/>
          <w:color w:val="auto"/>
        </w:rPr>
      </w:pPr>
    </w:p>
    <w:p>
      <w:pPr>
        <w:ind w:left="240" w:hanging="214"/>
        <w:spacing w:after="0"/>
        <w:tabs>
          <w:tab w:leader="none" w:pos="240" w:val="left"/>
        </w:tabs>
        <w:numPr>
          <w:ilvl w:val="0"/>
          <w:numId w:val="14"/>
        </w:numPr>
        <w:rPr>
          <w:rFonts w:ascii="Arial" w:cs="Arial" w:eastAsia="Arial" w:hAnsi="Arial"/>
          <w:sz w:val="14"/>
          <w:szCs w:val="14"/>
          <w:color w:val="auto"/>
        </w:rPr>
      </w:pPr>
      <w:r>
        <w:rPr>
          <w:rFonts w:ascii="Arial" w:cs="Arial" w:eastAsia="Arial" w:hAnsi="Arial"/>
          <w:sz w:val="14"/>
          <w:szCs w:val="14"/>
          <w:color w:val="auto"/>
        </w:rPr>
        <w:t>Represents acquisition related expenses including due diligence and integration costs of recent business combinations</w:t>
      </w:r>
    </w:p>
    <w:p>
      <w:pPr>
        <w:spacing w:after="0" w:line="41" w:lineRule="exact"/>
        <w:rPr>
          <w:rFonts w:ascii="Arial" w:cs="Arial" w:eastAsia="Arial" w:hAnsi="Arial"/>
          <w:sz w:val="14"/>
          <w:szCs w:val="14"/>
          <w:color w:val="auto"/>
        </w:rPr>
      </w:pPr>
    </w:p>
    <w:p>
      <w:pPr>
        <w:ind w:left="240" w:hanging="214"/>
        <w:spacing w:after="0"/>
        <w:tabs>
          <w:tab w:leader="none" w:pos="240" w:val="left"/>
        </w:tabs>
        <w:numPr>
          <w:ilvl w:val="0"/>
          <w:numId w:val="14"/>
        </w:numPr>
        <w:rPr>
          <w:rFonts w:ascii="Arial" w:cs="Arial" w:eastAsia="Arial" w:hAnsi="Arial"/>
          <w:sz w:val="14"/>
          <w:szCs w:val="14"/>
          <w:color w:val="auto"/>
        </w:rPr>
      </w:pPr>
      <w:r>
        <w:rPr>
          <w:rFonts w:ascii="Arial" w:cs="Arial" w:eastAsia="Arial" w:hAnsi="Arial"/>
          <w:sz w:val="14"/>
          <w:szCs w:val="14"/>
          <w:color w:val="auto"/>
        </w:rPr>
        <w:t>Includes one-time gain of $2.2M from an acquisition-related item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-104140</wp:posOffset>
            </wp:positionV>
            <wp:extent cx="7132320" cy="1289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5205730</wp:posOffset>
            </wp:positionH>
            <wp:positionV relativeFrom="page">
              <wp:posOffset>243205</wp:posOffset>
            </wp:positionV>
            <wp:extent cx="2134235" cy="2743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clrChange>
                        <a:clrFrom>
                          <a:srgbClr val="FFFFFF"/>
                        </a:clrFrom>
                        <a:clrTo>
                          <a:srgbClr val="FFFFFF">
                            <a:alpha val="0"/>
                          </a:srgbClr>
                        </a:clrTo>
                      </a:clrChange>
                      <a:extLst>
                        <a:ext uri="{28A0092B-C50C-407E-A947-70E740481C1C}"/>
                      </a:extLst>
                    </a:blip>
                    <a:srcRect/>
                    <a:stretch>
                      <a:fillRect/>
                    </a:stretch>
                  </pic:blipFill>
                  <pic:spPr bwMode="auto">
                    <a:xfrm>
                      <a:off x="0" y="0"/>
                      <a:ext cx="2134235" cy="274320"/>
                    </a:xfrm>
                    <a:prstGeom prst="rect">
                      <a:avLst/>
                    </a:prstGeom>
                    <a:noFill/>
                  </pic:spPr>
                </pic:pic>
              </a:graphicData>
            </a:graphic>
          </wp:anchor>
        </w:drawing>
        <w:t>GIBRALTAR INDUSTRIES,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Reconciliation of Adjusted Financial Measures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Three Months Ended September 30, 2026</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jc w:val="right"/>
              <w:ind w:right="210"/>
              <w:spacing w:after="0"/>
              <w:rPr>
                <w:sz w:val="20"/>
                <w:szCs w:val="20"/>
                <w:color w:val="auto"/>
              </w:rPr>
            </w:pPr>
            <w:r>
              <w:rPr>
                <w:rFonts w:ascii="Arial" w:cs="Arial" w:eastAsia="Arial" w:hAnsi="Arial"/>
                <w:sz w:val="16"/>
                <w:szCs w:val="16"/>
                <w:color w:val="auto"/>
              </w:rPr>
              <w:t>Consolidated</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2"/>
          </w:tcPr>
          <w:p>
            <w:pPr>
              <w:ind w:left="120"/>
              <w:spacing w:after="0"/>
              <w:rPr>
                <w:sz w:val="20"/>
                <w:szCs w:val="20"/>
                <w:color w:val="auto"/>
              </w:rPr>
            </w:pPr>
            <w:r>
              <w:rPr>
                <w:rFonts w:ascii="Arial" w:cs="Arial" w:eastAsia="Arial" w:hAnsi="Arial"/>
                <w:sz w:val="16"/>
                <w:szCs w:val="16"/>
                <w:color w:val="auto"/>
              </w:rPr>
              <w:t>Residential</w:t>
            </w:r>
          </w:p>
        </w:tc>
        <w:tc>
          <w:tcPr>
            <w:tcW w:w="300" w:type="dxa"/>
            <w:vAlign w:val="bottom"/>
          </w:tcPr>
          <w:p>
            <w:pPr>
              <w:spacing w:after="0"/>
              <w:rPr>
                <w:sz w:val="18"/>
                <w:szCs w:val="18"/>
                <w:color w:val="auto"/>
              </w:rPr>
            </w:pPr>
          </w:p>
        </w:tc>
        <w:tc>
          <w:tcPr>
            <w:tcW w:w="1320" w:type="dxa"/>
            <w:vAlign w:val="bottom"/>
            <w:gridSpan w:val="2"/>
          </w:tcPr>
          <w:p>
            <w:pPr>
              <w:ind w:left="200"/>
              <w:spacing w:after="0"/>
              <w:rPr>
                <w:sz w:val="20"/>
                <w:szCs w:val="20"/>
                <w:color w:val="auto"/>
              </w:rPr>
            </w:pPr>
            <w:r>
              <w:rPr>
                <w:rFonts w:ascii="Arial" w:cs="Arial" w:eastAsia="Arial" w:hAnsi="Arial"/>
                <w:sz w:val="16"/>
                <w:szCs w:val="16"/>
                <w:color w:val="auto"/>
              </w:rPr>
              <w:t>Agtech</w:t>
            </w:r>
          </w:p>
        </w:tc>
        <w:tc>
          <w:tcPr>
            <w:tcW w:w="200" w:type="dxa"/>
            <w:vAlign w:val="bottom"/>
          </w:tcPr>
          <w:p>
            <w:pPr>
              <w:spacing w:after="0"/>
              <w:rPr>
                <w:sz w:val="18"/>
                <w:szCs w:val="18"/>
                <w:color w:val="auto"/>
              </w:rPr>
            </w:pPr>
          </w:p>
        </w:tc>
        <w:tc>
          <w:tcPr>
            <w:tcW w:w="1320" w:type="dxa"/>
            <w:vAlign w:val="bottom"/>
          </w:tcPr>
          <w:p>
            <w:pPr>
              <w:jc w:val="right"/>
              <w:ind w:right="191"/>
              <w:spacing w:after="0"/>
              <w:rPr>
                <w:sz w:val="20"/>
                <w:szCs w:val="20"/>
                <w:color w:val="auto"/>
              </w:rPr>
            </w:pPr>
            <w:r>
              <w:rPr>
                <w:rFonts w:ascii="Arial" w:cs="Arial" w:eastAsia="Arial" w:hAnsi="Arial"/>
                <w:sz w:val="16"/>
                <w:szCs w:val="16"/>
                <w:color w:val="auto"/>
              </w:rPr>
              <w:t>Infrastructure</w:t>
            </w:r>
          </w:p>
        </w:tc>
      </w:tr>
      <w:tr>
        <w:trPr>
          <w:trHeight w:val="128"/>
        </w:trPr>
        <w:tc>
          <w:tcPr>
            <w:tcW w:w="482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3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2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320" w:type="dxa"/>
            <w:vAlign w:val="bottom"/>
            <w:tcBorders>
              <w:top w:val="single" w:sz="8" w:color="auto"/>
            </w:tcBorders>
          </w:tcPr>
          <w:p>
            <w:pPr>
              <w:spacing w:after="0"/>
              <w:rPr>
                <w:sz w:val="11"/>
                <w:szCs w:val="11"/>
                <w:color w:val="auto"/>
              </w:rPr>
            </w:pPr>
          </w:p>
        </w:tc>
      </w:tr>
      <w:tr>
        <w:trPr>
          <w:trHeight w:val="229"/>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479,570</w:t>
            </w:r>
          </w:p>
        </w:tc>
        <w:tc>
          <w:tcPr>
            <w:tcW w:w="3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398,952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59,326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21,292</w:t>
            </w:r>
          </w:p>
        </w:tc>
      </w:tr>
      <w:tr>
        <w:trPr>
          <w:trHeight w:val="270"/>
        </w:trPr>
        <w:tc>
          <w:tcPr>
            <w:tcW w:w="48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20" w:type="dxa"/>
            <w:vAlign w:val="bottom"/>
          </w:tcPr>
          <w:p>
            <w:pPr>
              <w:spacing w:after="0"/>
              <w:rPr>
                <w:sz w:val="23"/>
                <w:szCs w:val="23"/>
                <w:color w:val="auto"/>
              </w:rPr>
            </w:pPr>
          </w:p>
        </w:tc>
      </w:tr>
      <w:tr>
        <w:trPr>
          <w:trHeight w:val="230"/>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from Continuing Operations</w:t>
            </w: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20,626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29"/>
        </w:trPr>
        <w:tc>
          <w:tcPr>
            <w:tcW w:w="4820" w:type="dxa"/>
            <w:vAlign w:val="bottom"/>
          </w:tcPr>
          <w:p>
            <w:pPr>
              <w:ind w:left="20"/>
              <w:spacing w:after="0"/>
              <w:rPr>
                <w:sz w:val="20"/>
                <w:szCs w:val="20"/>
                <w:color w:val="auto"/>
              </w:rPr>
            </w:pPr>
            <w:r>
              <w:rPr>
                <w:rFonts w:ascii="Arial" w:cs="Arial" w:eastAsia="Arial" w:hAnsi="Arial"/>
                <w:sz w:val="18"/>
                <w:szCs w:val="18"/>
                <w:color w:val="auto"/>
              </w:rPr>
              <w:t>Provision for Income Taxes</w:t>
            </w:r>
          </w:p>
        </w:tc>
        <w:tc>
          <w:tcPr>
            <w:tcW w:w="220" w:type="dxa"/>
            <w:vAlign w:val="bottom"/>
          </w:tcPr>
          <w:p>
            <w:pPr>
              <w:spacing w:after="0"/>
              <w:rPr>
                <w:sz w:val="19"/>
                <w:szCs w:val="19"/>
                <w:color w:val="auto"/>
              </w:rPr>
            </w:pPr>
          </w:p>
        </w:tc>
        <w:tc>
          <w:tcPr>
            <w:tcW w:w="1320" w:type="dxa"/>
            <w:vAlign w:val="bottom"/>
          </w:tcPr>
          <w:p>
            <w:pPr>
              <w:jc w:val="right"/>
              <w:ind w:right="150"/>
              <w:spacing w:after="0"/>
              <w:rPr>
                <w:sz w:val="20"/>
                <w:szCs w:val="20"/>
                <w:color w:val="auto"/>
              </w:rPr>
            </w:pPr>
            <w:r>
              <w:rPr>
                <w:rFonts w:ascii="Arial" w:cs="Arial" w:eastAsia="Arial" w:hAnsi="Arial"/>
                <w:sz w:val="18"/>
                <w:szCs w:val="18"/>
                <w:color w:val="auto"/>
              </w:rPr>
              <w:t>9,835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30"/>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21,522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29"/>
        </w:trPr>
        <w:tc>
          <w:tcPr>
            <w:tcW w:w="48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Income</w:t>
            </w:r>
          </w:p>
        </w:tc>
        <w:tc>
          <w:tcPr>
            <w:tcW w:w="2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(2,721)</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2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12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320" w:type="dxa"/>
            <w:vAlign w:val="bottom"/>
            <w:tcBorders>
              <w:bottom w:val="single" w:sz="8" w:color="CCEEFF"/>
            </w:tcBorders>
          </w:tcPr>
          <w:p>
            <w:pPr>
              <w:spacing w:after="0"/>
              <w:rPr>
                <w:sz w:val="19"/>
                <w:szCs w:val="19"/>
                <w:color w:val="auto"/>
              </w:rPr>
            </w:pPr>
          </w:p>
        </w:tc>
      </w:tr>
      <w:tr>
        <w:trPr>
          <w:trHeight w:val="223"/>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Profit</w:t>
            </w: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49,262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49,328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5,152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4,179</w:t>
            </w:r>
          </w:p>
        </w:tc>
      </w:tr>
      <w:tr>
        <w:trPr>
          <w:trHeight w:val="229"/>
        </w:trPr>
        <w:tc>
          <w:tcPr>
            <w:tcW w:w="48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Adjusted Measures*</w:t>
            </w:r>
          </w:p>
        </w:tc>
        <w:tc>
          <w:tcPr>
            <w:tcW w:w="2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9,860</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6,264</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703</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w:t>
            </w:r>
          </w:p>
        </w:tc>
      </w:tr>
      <w:tr>
        <w:trPr>
          <w:trHeight w:val="223"/>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Adjusted Operating Profit</w:t>
            </w: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59,122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55,592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5,855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4,179</w:t>
            </w:r>
          </w:p>
        </w:tc>
      </w:tr>
      <w:tr>
        <w:trPr>
          <w:trHeight w:val="229"/>
        </w:trPr>
        <w:tc>
          <w:tcPr>
            <w:tcW w:w="4820" w:type="dxa"/>
            <w:vAlign w:val="bottom"/>
          </w:tcPr>
          <w:p>
            <w:pPr>
              <w:ind w:left="20"/>
              <w:spacing w:after="0"/>
              <w:rPr>
                <w:sz w:val="20"/>
                <w:szCs w:val="20"/>
                <w:color w:val="auto"/>
              </w:rPr>
            </w:pPr>
            <w:r>
              <w:rPr>
                <w:rFonts w:ascii="Arial" w:cs="Arial" w:eastAsia="Arial" w:hAnsi="Arial"/>
                <w:sz w:val="18"/>
                <w:szCs w:val="18"/>
                <w:color w:val="auto"/>
              </w:rPr>
              <w:t>Adjusted Operating Margin</w:t>
            </w: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12.3 %</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13.9 %</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9.9 %</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19.6 %</w:t>
            </w:r>
          </w:p>
        </w:tc>
      </w:tr>
      <w:tr>
        <w:trPr>
          <w:trHeight w:val="229"/>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Adjusted Other (Income) Expense</w:t>
            </w: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(2,721)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(2,231)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192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10</w:t>
            </w:r>
          </w:p>
        </w:tc>
      </w:tr>
      <w:tr>
        <w:trPr>
          <w:trHeight w:val="230"/>
        </w:trPr>
        <w:tc>
          <w:tcPr>
            <w:tcW w:w="4820" w:type="dxa"/>
            <w:vAlign w:val="bottom"/>
          </w:tcPr>
          <w:p>
            <w:pPr>
              <w:ind w:left="20"/>
              <w:spacing w:after="0"/>
              <w:rPr>
                <w:sz w:val="20"/>
                <w:szCs w:val="20"/>
                <w:color w:val="auto"/>
              </w:rPr>
            </w:pPr>
            <w:r>
              <w:rPr>
                <w:rFonts w:ascii="Arial" w:cs="Arial" w:eastAsia="Arial" w:hAnsi="Arial"/>
                <w:sz w:val="18"/>
                <w:szCs w:val="18"/>
                <w:color w:val="auto"/>
              </w:rPr>
              <w:t>Depreciation &amp; Amortization</w:t>
            </w:r>
          </w:p>
        </w:tc>
        <w:tc>
          <w:tcPr>
            <w:tcW w:w="220" w:type="dxa"/>
            <w:vAlign w:val="bottom"/>
          </w:tcPr>
          <w:p>
            <w:pPr>
              <w:spacing w:after="0"/>
              <w:rPr>
                <w:sz w:val="19"/>
                <w:szCs w:val="19"/>
                <w:color w:val="auto"/>
              </w:rPr>
            </w:pPr>
          </w:p>
        </w:tc>
        <w:tc>
          <w:tcPr>
            <w:tcW w:w="1320" w:type="dxa"/>
            <w:vAlign w:val="bottom"/>
          </w:tcPr>
          <w:p>
            <w:pPr>
              <w:jc w:val="right"/>
              <w:ind w:right="150"/>
              <w:spacing w:after="0"/>
              <w:rPr>
                <w:sz w:val="20"/>
                <w:szCs w:val="20"/>
                <w:color w:val="auto"/>
              </w:rPr>
            </w:pPr>
            <w:r>
              <w:rPr>
                <w:rFonts w:ascii="Arial" w:cs="Arial" w:eastAsia="Arial" w:hAnsi="Arial"/>
                <w:sz w:val="18"/>
                <w:szCs w:val="18"/>
                <w:color w:val="auto"/>
              </w:rPr>
              <w:t>19,889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jc w:val="right"/>
              <w:ind w:right="151"/>
              <w:spacing w:after="0"/>
              <w:rPr>
                <w:sz w:val="20"/>
                <w:szCs w:val="20"/>
                <w:color w:val="auto"/>
              </w:rPr>
            </w:pPr>
            <w:r>
              <w:rPr>
                <w:rFonts w:ascii="Arial" w:cs="Arial" w:eastAsia="Arial" w:hAnsi="Arial"/>
                <w:sz w:val="18"/>
                <w:szCs w:val="18"/>
                <w:color w:val="auto"/>
              </w:rPr>
              <w:t>16,556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jc w:val="right"/>
              <w:ind w:right="151"/>
              <w:spacing w:after="0"/>
              <w:rPr>
                <w:sz w:val="20"/>
                <w:szCs w:val="20"/>
                <w:color w:val="auto"/>
              </w:rPr>
            </w:pPr>
            <w:r>
              <w:rPr>
                <w:rFonts w:ascii="Arial" w:cs="Arial" w:eastAsia="Arial" w:hAnsi="Arial"/>
                <w:sz w:val="18"/>
                <w:szCs w:val="18"/>
                <w:color w:val="auto"/>
              </w:rPr>
              <w:t>1,975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ind w:right="151"/>
              <w:spacing w:after="0"/>
              <w:rPr>
                <w:sz w:val="20"/>
                <w:szCs w:val="20"/>
                <w:color w:val="auto"/>
              </w:rPr>
            </w:pPr>
            <w:r>
              <w:rPr>
                <w:rFonts w:ascii="Arial" w:cs="Arial" w:eastAsia="Arial" w:hAnsi="Arial"/>
                <w:sz w:val="18"/>
                <w:szCs w:val="18"/>
                <w:color w:val="auto"/>
              </w:rPr>
              <w:t>385</w:t>
            </w:r>
          </w:p>
        </w:tc>
      </w:tr>
      <w:tr>
        <w:trPr>
          <w:trHeight w:val="229"/>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 Compensation Expense</w:t>
            </w: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1,888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1,005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208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72</w:t>
            </w:r>
          </w:p>
        </w:tc>
      </w:tr>
      <w:tr>
        <w:trPr>
          <w:trHeight w:val="229"/>
        </w:trPr>
        <w:tc>
          <w:tcPr>
            <w:tcW w:w="4820" w:type="dxa"/>
            <w:vAlign w:val="bottom"/>
          </w:tcPr>
          <w:p>
            <w:pPr>
              <w:ind w:left="20"/>
              <w:spacing w:after="0"/>
              <w:rPr>
                <w:sz w:val="20"/>
                <w:szCs w:val="20"/>
                <w:color w:val="auto"/>
              </w:rPr>
            </w:pPr>
            <w:r>
              <w:rPr>
                <w:rFonts w:ascii="Arial" w:cs="Arial" w:eastAsia="Arial" w:hAnsi="Arial"/>
                <w:sz w:val="18"/>
                <w:szCs w:val="18"/>
                <w:color w:val="auto"/>
              </w:rPr>
              <w:t>Less: SLT Related Stock Compensation Expense</w:t>
            </w:r>
          </w:p>
        </w:tc>
        <w:tc>
          <w:tcPr>
            <w:tcW w:w="220" w:type="dxa"/>
            <w:vAlign w:val="bottom"/>
          </w:tcPr>
          <w:p>
            <w:pPr>
              <w:spacing w:after="0"/>
              <w:rPr>
                <w:sz w:val="19"/>
                <w:szCs w:val="19"/>
                <w:color w:val="auto"/>
              </w:rPr>
            </w:pPr>
          </w:p>
        </w:tc>
        <w:tc>
          <w:tcPr>
            <w:tcW w:w="1320" w:type="dxa"/>
            <w:vAlign w:val="bottom"/>
          </w:tcPr>
          <w:p>
            <w:pPr>
              <w:jc w:val="right"/>
              <w:ind w:right="110"/>
              <w:spacing w:after="0"/>
              <w:rPr>
                <w:sz w:val="20"/>
                <w:szCs w:val="20"/>
                <w:color w:val="auto"/>
              </w:rPr>
            </w:pPr>
            <w:r>
              <w:rPr>
                <w:rFonts w:ascii="Arial" w:cs="Arial" w:eastAsia="Arial" w:hAnsi="Arial"/>
                <w:sz w:val="18"/>
                <w:szCs w:val="18"/>
                <w:color w:val="auto"/>
              </w:rPr>
              <w:t>(123)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jc w:val="right"/>
              <w:ind w:right="91"/>
              <w:spacing w:after="0"/>
              <w:rPr>
                <w:sz w:val="20"/>
                <w:szCs w:val="20"/>
                <w:color w:val="auto"/>
              </w:rPr>
            </w:pPr>
            <w:r>
              <w:rPr>
                <w:rFonts w:ascii="Arial" w:cs="Arial" w:eastAsia="Arial" w:hAnsi="Arial"/>
                <w:sz w:val="18"/>
                <w:szCs w:val="18"/>
                <w:color w:val="auto"/>
              </w:rPr>
              <w:t>(123)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320" w:type="dxa"/>
            <w:vAlign w:val="bottom"/>
          </w:tcPr>
          <w:p>
            <w:pPr>
              <w:jc w:val="right"/>
              <w:ind w:right="151"/>
              <w:spacing w:after="0"/>
              <w:rPr>
                <w:sz w:val="20"/>
                <w:szCs w:val="20"/>
                <w:color w:val="auto"/>
              </w:rPr>
            </w:pPr>
            <w:r>
              <w:rPr>
                <w:rFonts w:ascii="Arial" w:cs="Arial" w:eastAsia="Arial" w:hAnsi="Arial"/>
                <w:sz w:val="18"/>
                <w:szCs w:val="18"/>
                <w:color w:val="auto"/>
              </w:rPr>
              <w:t>—</w:t>
            </w:r>
          </w:p>
        </w:tc>
      </w:tr>
      <w:tr>
        <w:trPr>
          <w:trHeight w:val="223"/>
        </w:trPr>
        <w:tc>
          <w:tcPr>
            <w:tcW w:w="48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Adjusted Stock Compensation Expense</w:t>
            </w: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132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1,765</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1280" w:type="dxa"/>
            <w:vAlign w:val="bottom"/>
            <w:tcBorders>
              <w:top w:val="single" w:sz="8" w:color="auto"/>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882</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1200" w:type="dxa"/>
            <w:vAlign w:val="bottom"/>
            <w:tcBorders>
              <w:top w:val="single" w:sz="8" w:color="auto"/>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208</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1320" w:type="dxa"/>
            <w:vAlign w:val="bottom"/>
            <w:tcBorders>
              <w:top w:val="single" w:sz="8" w:color="auto"/>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72</w:t>
            </w:r>
          </w:p>
        </w:tc>
      </w:tr>
      <w:tr>
        <w:trPr>
          <w:trHeight w:val="223"/>
        </w:trPr>
        <w:tc>
          <w:tcPr>
            <w:tcW w:w="4820" w:type="dxa"/>
            <w:vAlign w:val="bottom"/>
          </w:tcPr>
          <w:p>
            <w:pPr>
              <w:ind w:left="20"/>
              <w:spacing w:after="0"/>
              <w:rPr>
                <w:sz w:val="20"/>
                <w:szCs w:val="20"/>
                <w:color w:val="auto"/>
              </w:rPr>
            </w:pPr>
            <w:r>
              <w:rPr>
                <w:rFonts w:ascii="Arial" w:cs="Arial" w:eastAsia="Arial" w:hAnsi="Arial"/>
                <w:sz w:val="18"/>
                <w:szCs w:val="18"/>
                <w:color w:val="auto"/>
              </w:rPr>
              <w:t>Adjusted EBITDA</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83,497</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75,261</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7,846</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4,626</w:t>
            </w:r>
          </w:p>
        </w:tc>
      </w:tr>
      <w:tr>
        <w:trPr>
          <w:trHeight w:val="20"/>
        </w:trPr>
        <w:tc>
          <w:tcPr>
            <w:tcW w:w="48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237"/>
        </w:trPr>
        <w:tc>
          <w:tcPr>
            <w:tcW w:w="48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r>
      <w:tr>
        <w:trPr>
          <w:trHeight w:val="230"/>
        </w:trPr>
        <w:tc>
          <w:tcPr>
            <w:tcW w:w="4820" w:type="dxa"/>
            <w:vAlign w:val="bottom"/>
          </w:tcPr>
          <w:p>
            <w:pPr>
              <w:ind w:left="20"/>
              <w:spacing w:after="0"/>
              <w:rPr>
                <w:sz w:val="20"/>
                <w:szCs w:val="20"/>
                <w:color w:val="auto"/>
              </w:rPr>
            </w:pPr>
            <w:r>
              <w:rPr>
                <w:rFonts w:ascii="Arial" w:cs="Arial" w:eastAsia="Arial" w:hAnsi="Arial"/>
                <w:sz w:val="18"/>
                <w:szCs w:val="18"/>
                <w:color w:val="auto"/>
              </w:rPr>
              <w:t>Adjusted EBITDA Margin</w:t>
            </w: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17.4 %</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18.9 %</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13.2 %</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21.7 %</w:t>
            </w:r>
          </w:p>
        </w:tc>
      </w:tr>
      <w:tr>
        <w:trPr>
          <w:trHeight w:val="270"/>
        </w:trPr>
        <w:tc>
          <w:tcPr>
            <w:tcW w:w="48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r>
      <w:tr>
        <w:trPr>
          <w:trHeight w:val="229"/>
        </w:trPr>
        <w:tc>
          <w:tcPr>
            <w:tcW w:w="4820" w:type="dxa"/>
            <w:vAlign w:val="bottom"/>
          </w:tcPr>
          <w:p>
            <w:pPr>
              <w:ind w:left="20"/>
              <w:spacing w:after="0"/>
              <w:rPr>
                <w:sz w:val="20"/>
                <w:szCs w:val="20"/>
                <w:color w:val="auto"/>
              </w:rPr>
            </w:pPr>
            <w:r>
              <w:rPr>
                <w:rFonts w:ascii="Arial" w:cs="Arial" w:eastAsia="Arial" w:hAnsi="Arial"/>
                <w:sz w:val="18"/>
                <w:szCs w:val="18"/>
                <w:color w:val="auto"/>
              </w:rPr>
              <w:t>Cash Flow - Operating Activities</w:t>
            </w:r>
          </w:p>
        </w:tc>
        <w:tc>
          <w:tcPr>
            <w:tcW w:w="220" w:type="dxa"/>
            <w:vAlign w:val="bottom"/>
          </w:tcPr>
          <w:p>
            <w:pPr>
              <w:spacing w:after="0"/>
              <w:rPr>
                <w:sz w:val="19"/>
                <w:szCs w:val="19"/>
                <w:color w:val="auto"/>
              </w:rPr>
            </w:pPr>
          </w:p>
        </w:tc>
        <w:tc>
          <w:tcPr>
            <w:tcW w:w="1320" w:type="dxa"/>
            <w:vAlign w:val="bottom"/>
          </w:tcPr>
          <w:p>
            <w:pPr>
              <w:jc w:val="right"/>
              <w:ind w:right="150"/>
              <w:spacing w:after="0"/>
              <w:rPr>
                <w:sz w:val="20"/>
                <w:szCs w:val="20"/>
                <w:color w:val="auto"/>
              </w:rPr>
            </w:pPr>
            <w:r>
              <w:rPr>
                <w:rFonts w:ascii="Arial" w:cs="Arial" w:eastAsia="Arial" w:hAnsi="Arial"/>
                <w:sz w:val="18"/>
                <w:szCs w:val="18"/>
                <w:color w:val="auto"/>
              </w:rPr>
              <w:t>9,371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30"/>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Purchase of PPE, Net</w:t>
            </w:r>
          </w:p>
        </w:tc>
        <w:tc>
          <w:tcPr>
            <w:tcW w:w="2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(1,410)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23"/>
        </w:trPr>
        <w:tc>
          <w:tcPr>
            <w:tcW w:w="4820" w:type="dxa"/>
            <w:vAlign w:val="bottom"/>
          </w:tcPr>
          <w:p>
            <w:pPr>
              <w:ind w:left="20"/>
              <w:spacing w:after="0"/>
              <w:rPr>
                <w:sz w:val="20"/>
                <w:szCs w:val="20"/>
                <w:color w:val="auto"/>
              </w:rPr>
            </w:pPr>
            <w:r>
              <w:rPr>
                <w:rFonts w:ascii="Arial" w:cs="Arial" w:eastAsia="Arial" w:hAnsi="Arial"/>
                <w:sz w:val="18"/>
                <w:szCs w:val="18"/>
                <w:color w:val="auto"/>
              </w:rPr>
              <w:t>Free Cash Flow</w:t>
            </w:r>
          </w:p>
        </w:tc>
        <w:tc>
          <w:tcPr>
            <w:tcW w:w="220" w:type="dxa"/>
            <w:vAlign w:val="bottom"/>
          </w:tcPr>
          <w:p>
            <w:pPr>
              <w:spacing w:after="0"/>
              <w:rPr>
                <w:sz w:val="19"/>
                <w:szCs w:val="19"/>
                <w:color w:val="auto"/>
              </w:rPr>
            </w:pPr>
          </w:p>
        </w:tc>
        <w:tc>
          <w:tcPr>
            <w:tcW w:w="1320" w:type="dxa"/>
            <w:vAlign w:val="bottom"/>
          </w:tcPr>
          <w:p>
            <w:pPr>
              <w:jc w:val="right"/>
              <w:ind w:right="150"/>
              <w:spacing w:after="0"/>
              <w:rPr>
                <w:sz w:val="20"/>
                <w:szCs w:val="20"/>
                <w:color w:val="auto"/>
              </w:rPr>
            </w:pPr>
            <w:r>
              <w:rPr>
                <w:rFonts w:ascii="Arial" w:cs="Arial" w:eastAsia="Arial" w:hAnsi="Arial"/>
                <w:sz w:val="18"/>
                <w:szCs w:val="18"/>
                <w:color w:val="auto"/>
              </w:rPr>
              <w:t>7,961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30"/>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Free Cash Flow - % of Net Sales</w:t>
            </w: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1.7 %</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128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254" w:lineRule="exact"/>
        <w:rPr>
          <w:sz w:val="20"/>
          <w:szCs w:val="20"/>
          <w:color w:val="auto"/>
        </w:rPr>
      </w:pPr>
    </w:p>
    <w:p>
      <w:pPr>
        <w:ind w:left="20"/>
        <w:spacing w:after="0"/>
        <w:rPr>
          <w:sz w:val="20"/>
          <w:szCs w:val="20"/>
          <w:color w:val="auto"/>
        </w:rPr>
      </w:pPr>
      <w:r>
        <w:rPr>
          <w:rFonts w:ascii="Arial" w:cs="Arial" w:eastAsia="Arial" w:hAnsi="Arial"/>
          <w:sz w:val="14"/>
          <w:szCs w:val="14"/>
          <w:color w:val="auto"/>
        </w:rPr>
        <w:t>*Adjusted Measures details are presented on the corresponding Reconciliation of GAAP and Adjusted Financial Measures</w:t>
      </w:r>
    </w:p>
    <w:p>
      <w:pPr>
        <w:sectPr>
          <w:pgSz w:w="11900" w:h="16838" w:orient="portrait"/>
          <w:cols w:equalWidth="0" w:num="1">
            <w:col w:w="11240"/>
          </w:cols>
          <w:pgMar w:left="320" w:top="1417" w:right="339" w:bottom="1440" w:gutter="0" w:footer="0" w:header="0"/>
        </w:sectPr>
      </w:pPr>
    </w:p>
    <w:bookmarkStart w:id="18" w:name="page19"/>
    <w:bookmarkEnd w:id="18"/>
    <w:p>
      <w:pPr>
        <w:jc w:val="center"/>
        <w:ind w:right="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5205730</wp:posOffset>
            </wp:positionH>
            <wp:positionV relativeFrom="page">
              <wp:posOffset>243205</wp:posOffset>
            </wp:positionV>
            <wp:extent cx="2134235" cy="2743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clrChange>
                        <a:clrFrom>
                          <a:srgbClr val="FFFFFF"/>
                        </a:clrFrom>
                        <a:clrTo>
                          <a:srgbClr val="FFFFFF">
                            <a:alpha val="0"/>
                          </a:srgbClr>
                        </a:clrTo>
                      </a:clrChange>
                      <a:extLst>
                        <a:ext uri="{28A0092B-C50C-407E-A947-70E740481C1C}"/>
                      </a:extLst>
                    </a:blip>
                    <a:srcRect/>
                    <a:stretch>
                      <a:fillRect/>
                    </a:stretch>
                  </pic:blipFill>
                  <pic:spPr bwMode="auto">
                    <a:xfrm>
                      <a:off x="0" y="0"/>
                      <a:ext cx="2134235" cy="274320"/>
                    </a:xfrm>
                    <a:prstGeom prst="rect">
                      <a:avLst/>
                    </a:prstGeom>
                    <a:noFill/>
                  </pic:spPr>
                </pic:pic>
              </a:graphicData>
            </a:graphic>
          </wp:anchor>
        </w:drawing>
        <w:t>GIBRALTAR INDUSTRIES, INC.</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Reconciliation of Adjusted Financial Measures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(unaudited)</w:t>
      </w:r>
    </w:p>
    <w:p>
      <w:pPr>
        <w:spacing w:after="0" w:line="27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Three Months Ended September 30, 2025</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ind w:right="230"/>
              <w:spacing w:after="0"/>
              <w:rPr>
                <w:sz w:val="20"/>
                <w:szCs w:val="20"/>
                <w:color w:val="auto"/>
              </w:rPr>
            </w:pPr>
            <w:r>
              <w:rPr>
                <w:rFonts w:ascii="Arial" w:cs="Arial" w:eastAsia="Arial" w:hAnsi="Arial"/>
                <w:sz w:val="16"/>
                <w:szCs w:val="16"/>
                <w:color w:val="auto"/>
              </w:rPr>
              <w:t>Consolidated</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gridSpan w:val="2"/>
          </w:tcPr>
          <w:p>
            <w:pPr>
              <w:ind w:left="120"/>
              <w:spacing w:after="0"/>
              <w:rPr>
                <w:sz w:val="20"/>
                <w:szCs w:val="20"/>
                <w:color w:val="auto"/>
              </w:rPr>
            </w:pPr>
            <w:r>
              <w:rPr>
                <w:rFonts w:ascii="Arial" w:cs="Arial" w:eastAsia="Arial" w:hAnsi="Arial"/>
                <w:sz w:val="16"/>
                <w:szCs w:val="16"/>
                <w:color w:val="auto"/>
              </w:rPr>
              <w:t>Residential</w:t>
            </w:r>
          </w:p>
        </w:tc>
        <w:tc>
          <w:tcPr>
            <w:tcW w:w="280" w:type="dxa"/>
            <w:vAlign w:val="bottom"/>
          </w:tcPr>
          <w:p>
            <w:pPr>
              <w:spacing w:after="0"/>
              <w:rPr>
                <w:sz w:val="18"/>
                <w:szCs w:val="18"/>
                <w:color w:val="auto"/>
              </w:rPr>
            </w:pPr>
          </w:p>
        </w:tc>
        <w:tc>
          <w:tcPr>
            <w:tcW w:w="1300" w:type="dxa"/>
            <w:vAlign w:val="bottom"/>
            <w:gridSpan w:val="2"/>
          </w:tcPr>
          <w:p>
            <w:pPr>
              <w:ind w:left="180"/>
              <w:spacing w:after="0"/>
              <w:rPr>
                <w:sz w:val="20"/>
                <w:szCs w:val="20"/>
                <w:color w:val="auto"/>
              </w:rPr>
            </w:pPr>
            <w:r>
              <w:rPr>
                <w:rFonts w:ascii="Arial" w:cs="Arial" w:eastAsia="Arial" w:hAnsi="Arial"/>
                <w:sz w:val="16"/>
                <w:szCs w:val="16"/>
                <w:color w:val="auto"/>
              </w:rPr>
              <w:t>Agtech</w:t>
            </w:r>
          </w:p>
        </w:tc>
        <w:tc>
          <w:tcPr>
            <w:tcW w:w="220" w:type="dxa"/>
            <w:vAlign w:val="bottom"/>
          </w:tcPr>
          <w:p>
            <w:pPr>
              <w:spacing w:after="0"/>
              <w:rPr>
                <w:sz w:val="18"/>
                <w:szCs w:val="18"/>
                <w:color w:val="auto"/>
              </w:rPr>
            </w:pPr>
          </w:p>
        </w:tc>
        <w:tc>
          <w:tcPr>
            <w:tcW w:w="1360" w:type="dxa"/>
            <w:vAlign w:val="bottom"/>
          </w:tcPr>
          <w:p>
            <w:pPr>
              <w:jc w:val="right"/>
              <w:ind w:right="231"/>
              <w:spacing w:after="0"/>
              <w:rPr>
                <w:sz w:val="20"/>
                <w:szCs w:val="20"/>
                <w:color w:val="auto"/>
              </w:rPr>
            </w:pPr>
            <w:r>
              <w:rPr>
                <w:rFonts w:ascii="Arial" w:cs="Arial" w:eastAsia="Arial" w:hAnsi="Arial"/>
                <w:sz w:val="16"/>
                <w:szCs w:val="16"/>
                <w:color w:val="auto"/>
              </w:rPr>
              <w:t>Infrastructure</w:t>
            </w:r>
          </w:p>
        </w:tc>
      </w:tr>
      <w:tr>
        <w:trPr>
          <w:trHeight w:val="128"/>
        </w:trPr>
        <w:tc>
          <w:tcPr>
            <w:tcW w:w="432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36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32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360" w:type="dxa"/>
            <w:vAlign w:val="bottom"/>
            <w:tcBorders>
              <w:top w:val="single" w:sz="8" w:color="auto"/>
            </w:tcBorders>
          </w:tcPr>
          <w:p>
            <w:pPr>
              <w:spacing w:after="0"/>
              <w:rPr>
                <w:sz w:val="11"/>
                <w:szCs w:val="11"/>
                <w:color w:val="auto"/>
              </w:rPr>
            </w:pPr>
          </w:p>
        </w:tc>
      </w:tr>
      <w:tr>
        <w:trPr>
          <w:trHeight w:val="230"/>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310,939</w:t>
            </w:r>
          </w:p>
        </w:tc>
        <w:tc>
          <w:tcPr>
            <w:tcW w:w="3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230,286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57,565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23,088</w:t>
            </w:r>
          </w:p>
        </w:tc>
      </w:tr>
      <w:tr>
        <w:trPr>
          <w:trHeight w:val="270"/>
        </w:trPr>
        <w:tc>
          <w:tcPr>
            <w:tcW w:w="43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60" w:type="dxa"/>
            <w:vAlign w:val="bottom"/>
          </w:tcPr>
          <w:p>
            <w:pPr>
              <w:spacing w:after="0"/>
              <w:rPr>
                <w:sz w:val="23"/>
                <w:szCs w:val="23"/>
                <w:color w:val="auto"/>
              </w:rPr>
            </w:pPr>
          </w:p>
        </w:tc>
      </w:tr>
      <w:tr>
        <w:trPr>
          <w:trHeight w:val="229"/>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Net Income from Continuing Operations</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33,205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29"/>
        </w:trPr>
        <w:tc>
          <w:tcPr>
            <w:tcW w:w="432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200" w:type="dxa"/>
            <w:vAlign w:val="bottom"/>
          </w:tcPr>
          <w:p>
            <w:pPr>
              <w:spacing w:after="0"/>
              <w:rPr>
                <w:sz w:val="19"/>
                <w:szCs w:val="19"/>
                <w:color w:val="auto"/>
              </w:rPr>
            </w:pPr>
          </w:p>
        </w:tc>
        <w:tc>
          <w:tcPr>
            <w:tcW w:w="1360" w:type="dxa"/>
            <w:vAlign w:val="bottom"/>
          </w:tcPr>
          <w:p>
            <w:pPr>
              <w:jc w:val="right"/>
              <w:ind w:right="150"/>
              <w:spacing w:after="0"/>
              <w:rPr>
                <w:sz w:val="20"/>
                <w:szCs w:val="20"/>
                <w:color w:val="auto"/>
              </w:rPr>
            </w:pPr>
            <w:r>
              <w:rPr>
                <w:rFonts w:ascii="Arial" w:cs="Arial" w:eastAsia="Arial" w:hAnsi="Arial"/>
                <w:sz w:val="18"/>
                <w:szCs w:val="18"/>
                <w:color w:val="auto"/>
              </w:rPr>
              <w:t>8,724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30"/>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29"/>
        </w:trPr>
        <w:tc>
          <w:tcPr>
            <w:tcW w:w="43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Income</w:t>
            </w: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(1,989)</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3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11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360" w:type="dxa"/>
            <w:vAlign w:val="bottom"/>
            <w:tcBorders>
              <w:bottom w:val="single" w:sz="8" w:color="CCEEFF"/>
            </w:tcBorders>
          </w:tcPr>
          <w:p>
            <w:pPr>
              <w:spacing w:after="0"/>
              <w:rPr>
                <w:sz w:val="19"/>
                <w:szCs w:val="19"/>
                <w:color w:val="auto"/>
              </w:rPr>
            </w:pPr>
          </w:p>
        </w:tc>
      </w:tr>
      <w:tr>
        <w:trPr>
          <w:trHeight w:val="223"/>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Operating Profit</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39,942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40,432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3,178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4,737</w:t>
            </w:r>
          </w:p>
        </w:tc>
      </w:tr>
      <w:tr>
        <w:trPr>
          <w:trHeight w:val="229"/>
        </w:trPr>
        <w:tc>
          <w:tcPr>
            <w:tcW w:w="43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Adjusted Measures*</w:t>
            </w: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2,717</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171"/>
              <w:spacing w:after="0"/>
              <w:rPr>
                <w:sz w:val="20"/>
                <w:szCs w:val="20"/>
                <w:color w:val="auto"/>
              </w:rPr>
            </w:pPr>
            <w:r>
              <w:rPr>
                <w:rFonts w:ascii="Arial" w:cs="Arial" w:eastAsia="Arial" w:hAnsi="Arial"/>
                <w:sz w:val="18"/>
                <w:szCs w:val="18"/>
                <w:color w:val="auto"/>
              </w:rPr>
              <w:t>1,500</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126</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171"/>
              <w:spacing w:after="0"/>
              <w:rPr>
                <w:sz w:val="20"/>
                <w:szCs w:val="20"/>
                <w:color w:val="auto"/>
              </w:rPr>
            </w:pPr>
            <w:r>
              <w:rPr>
                <w:rFonts w:ascii="Arial" w:cs="Arial" w:eastAsia="Arial" w:hAnsi="Arial"/>
                <w:sz w:val="18"/>
                <w:szCs w:val="18"/>
                <w:color w:val="auto"/>
              </w:rPr>
              <w:t>—</w:t>
            </w:r>
          </w:p>
        </w:tc>
      </w:tr>
      <w:tr>
        <w:trPr>
          <w:trHeight w:val="223"/>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Adjusted Operating Profit</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42,659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41,932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3,304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4,737</w:t>
            </w:r>
          </w:p>
        </w:tc>
      </w:tr>
      <w:tr>
        <w:trPr>
          <w:trHeight w:val="229"/>
        </w:trPr>
        <w:tc>
          <w:tcPr>
            <w:tcW w:w="4320" w:type="dxa"/>
            <w:vAlign w:val="bottom"/>
          </w:tcPr>
          <w:p>
            <w:pPr>
              <w:spacing w:after="0"/>
              <w:rPr>
                <w:sz w:val="20"/>
                <w:szCs w:val="20"/>
                <w:color w:val="auto"/>
              </w:rPr>
            </w:pPr>
            <w:r>
              <w:rPr>
                <w:rFonts w:ascii="Arial" w:cs="Arial" w:eastAsia="Arial" w:hAnsi="Arial"/>
                <w:sz w:val="18"/>
                <w:szCs w:val="18"/>
                <w:color w:val="auto"/>
              </w:rPr>
              <w:t>Adjusted Operating Margin</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13.7 %</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18.2 %</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5.7 %</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20.5 %</w:t>
            </w:r>
          </w:p>
        </w:tc>
      </w:tr>
      <w:tr>
        <w:trPr>
          <w:trHeight w:val="229"/>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Adjusted Other Expense</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55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w:t>
            </w:r>
          </w:p>
        </w:tc>
      </w:tr>
      <w:tr>
        <w:trPr>
          <w:trHeight w:val="230"/>
        </w:trPr>
        <w:tc>
          <w:tcPr>
            <w:tcW w:w="4320" w:type="dxa"/>
            <w:vAlign w:val="bottom"/>
          </w:tcPr>
          <w:p>
            <w:pPr>
              <w:spacing w:after="0"/>
              <w:rPr>
                <w:sz w:val="20"/>
                <w:szCs w:val="20"/>
                <w:color w:val="auto"/>
              </w:rPr>
            </w:pPr>
            <w:r>
              <w:rPr>
                <w:rFonts w:ascii="Arial" w:cs="Arial" w:eastAsia="Arial" w:hAnsi="Arial"/>
                <w:sz w:val="18"/>
                <w:szCs w:val="18"/>
                <w:color w:val="auto"/>
              </w:rPr>
              <w:t>Depreciation &amp; Amortization</w:t>
            </w:r>
          </w:p>
        </w:tc>
        <w:tc>
          <w:tcPr>
            <w:tcW w:w="200" w:type="dxa"/>
            <w:vAlign w:val="bottom"/>
          </w:tcPr>
          <w:p>
            <w:pPr>
              <w:spacing w:after="0"/>
              <w:rPr>
                <w:sz w:val="19"/>
                <w:szCs w:val="19"/>
                <w:color w:val="auto"/>
              </w:rPr>
            </w:pPr>
          </w:p>
        </w:tc>
        <w:tc>
          <w:tcPr>
            <w:tcW w:w="1360" w:type="dxa"/>
            <w:vAlign w:val="bottom"/>
          </w:tcPr>
          <w:p>
            <w:pPr>
              <w:jc w:val="right"/>
              <w:ind w:right="150"/>
              <w:spacing w:after="0"/>
              <w:rPr>
                <w:sz w:val="20"/>
                <w:szCs w:val="20"/>
                <w:color w:val="auto"/>
              </w:rPr>
            </w:pPr>
            <w:r>
              <w:rPr>
                <w:rFonts w:ascii="Arial" w:cs="Arial" w:eastAsia="Arial" w:hAnsi="Arial"/>
                <w:sz w:val="18"/>
                <w:szCs w:val="18"/>
                <w:color w:val="auto"/>
              </w:rPr>
              <w:t>7,001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ind w:right="171"/>
              <w:spacing w:after="0"/>
              <w:rPr>
                <w:sz w:val="20"/>
                <w:szCs w:val="20"/>
                <w:color w:val="auto"/>
              </w:rPr>
            </w:pPr>
            <w:r>
              <w:rPr>
                <w:rFonts w:ascii="Arial" w:cs="Arial" w:eastAsia="Arial" w:hAnsi="Arial"/>
                <w:sz w:val="18"/>
                <w:szCs w:val="18"/>
                <w:color w:val="auto"/>
              </w:rPr>
              <w:t>4,097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jc w:val="right"/>
              <w:ind w:right="151"/>
              <w:spacing w:after="0"/>
              <w:rPr>
                <w:sz w:val="20"/>
                <w:szCs w:val="20"/>
                <w:color w:val="auto"/>
              </w:rPr>
            </w:pPr>
            <w:r>
              <w:rPr>
                <w:rFonts w:ascii="Arial" w:cs="Arial" w:eastAsia="Arial" w:hAnsi="Arial"/>
                <w:sz w:val="18"/>
                <w:szCs w:val="18"/>
                <w:color w:val="auto"/>
              </w:rPr>
              <w:t>1,356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ind w:right="171"/>
              <w:spacing w:after="0"/>
              <w:rPr>
                <w:sz w:val="20"/>
                <w:szCs w:val="20"/>
                <w:color w:val="auto"/>
              </w:rPr>
            </w:pPr>
            <w:r>
              <w:rPr>
                <w:rFonts w:ascii="Arial" w:cs="Arial" w:eastAsia="Arial" w:hAnsi="Arial"/>
                <w:sz w:val="18"/>
                <w:szCs w:val="18"/>
                <w:color w:val="auto"/>
              </w:rPr>
              <w:t>726</w:t>
            </w:r>
          </w:p>
        </w:tc>
      </w:tr>
      <w:tr>
        <w:trPr>
          <w:trHeight w:val="229"/>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Less: Acquisition-related amortization</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569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569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w:t>
            </w:r>
          </w:p>
        </w:tc>
      </w:tr>
      <w:tr>
        <w:trPr>
          <w:trHeight w:val="223"/>
        </w:trPr>
        <w:tc>
          <w:tcPr>
            <w:tcW w:w="4320" w:type="dxa"/>
            <w:vAlign w:val="bottom"/>
          </w:tcPr>
          <w:p>
            <w:pPr>
              <w:spacing w:after="0"/>
              <w:rPr>
                <w:sz w:val="20"/>
                <w:szCs w:val="20"/>
                <w:color w:val="auto"/>
              </w:rPr>
            </w:pPr>
            <w:r>
              <w:rPr>
                <w:rFonts w:ascii="Arial" w:cs="Arial" w:eastAsia="Arial" w:hAnsi="Arial"/>
                <w:sz w:val="18"/>
                <w:szCs w:val="18"/>
                <w:color w:val="auto"/>
              </w:rPr>
              <w:t>Adjusted Depreciation &amp; Amortization</w:t>
            </w:r>
          </w:p>
        </w:tc>
        <w:tc>
          <w:tcPr>
            <w:tcW w:w="20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7,570</w:t>
            </w:r>
          </w:p>
        </w:tc>
        <w:tc>
          <w:tcPr>
            <w:tcW w:w="1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jc w:val="right"/>
              <w:ind w:right="171"/>
              <w:spacing w:after="0"/>
              <w:rPr>
                <w:sz w:val="20"/>
                <w:szCs w:val="20"/>
                <w:color w:val="auto"/>
              </w:rPr>
            </w:pPr>
            <w:r>
              <w:rPr>
                <w:rFonts w:ascii="Arial" w:cs="Arial" w:eastAsia="Arial" w:hAnsi="Arial"/>
                <w:sz w:val="18"/>
                <w:szCs w:val="18"/>
                <w:color w:val="auto"/>
              </w:rPr>
              <w:t>4,097</w:t>
            </w:r>
          </w:p>
        </w:tc>
        <w:tc>
          <w:tcPr>
            <w:tcW w:w="12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ind w:right="151"/>
              <w:spacing w:after="0"/>
              <w:rPr>
                <w:sz w:val="20"/>
                <w:szCs w:val="20"/>
                <w:color w:val="auto"/>
              </w:rPr>
            </w:pPr>
            <w:r>
              <w:rPr>
                <w:rFonts w:ascii="Arial" w:cs="Arial" w:eastAsia="Arial" w:hAnsi="Arial"/>
                <w:sz w:val="18"/>
                <w:szCs w:val="18"/>
                <w:color w:val="auto"/>
              </w:rPr>
              <w:t>1,925</w:t>
            </w:r>
          </w:p>
        </w:tc>
        <w:tc>
          <w:tcPr>
            <w:tcW w:w="1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jc w:val="right"/>
              <w:ind w:right="171"/>
              <w:spacing w:after="0"/>
              <w:rPr>
                <w:sz w:val="20"/>
                <w:szCs w:val="20"/>
                <w:color w:val="auto"/>
              </w:rPr>
            </w:pPr>
            <w:r>
              <w:rPr>
                <w:rFonts w:ascii="Arial" w:cs="Arial" w:eastAsia="Arial" w:hAnsi="Arial"/>
                <w:sz w:val="18"/>
                <w:szCs w:val="18"/>
                <w:color w:val="auto"/>
              </w:rPr>
              <w:t>726</w:t>
            </w:r>
          </w:p>
        </w:tc>
      </w:tr>
      <w:tr>
        <w:trPr>
          <w:trHeight w:val="229"/>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Adjusted Stock Compensation Expense</w:t>
            </w:r>
          </w:p>
        </w:tc>
        <w:tc>
          <w:tcPr>
            <w:tcW w:w="2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1,228</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171"/>
              <w:spacing w:after="0"/>
              <w:rPr>
                <w:sz w:val="20"/>
                <w:szCs w:val="20"/>
                <w:color w:val="auto"/>
              </w:rPr>
            </w:pPr>
            <w:r>
              <w:rPr>
                <w:rFonts w:ascii="Arial" w:cs="Arial" w:eastAsia="Arial" w:hAnsi="Arial"/>
                <w:sz w:val="18"/>
                <w:szCs w:val="18"/>
                <w:color w:val="auto"/>
              </w:rPr>
              <w:t>732</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204</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ind w:right="171"/>
              <w:spacing w:after="0"/>
              <w:rPr>
                <w:sz w:val="20"/>
                <w:szCs w:val="20"/>
                <w:color w:val="auto"/>
              </w:rPr>
            </w:pPr>
            <w:r>
              <w:rPr>
                <w:rFonts w:ascii="Arial" w:cs="Arial" w:eastAsia="Arial" w:hAnsi="Arial"/>
                <w:sz w:val="18"/>
                <w:szCs w:val="18"/>
                <w:color w:val="auto"/>
              </w:rPr>
              <w:t>68</w:t>
            </w:r>
          </w:p>
        </w:tc>
      </w:tr>
      <w:tr>
        <w:trPr>
          <w:trHeight w:val="223"/>
        </w:trPr>
        <w:tc>
          <w:tcPr>
            <w:tcW w:w="4320" w:type="dxa"/>
            <w:vAlign w:val="bottom"/>
          </w:tcPr>
          <w:p>
            <w:pPr>
              <w:spacing w:after="0"/>
              <w:rPr>
                <w:sz w:val="20"/>
                <w:szCs w:val="20"/>
                <w:color w:val="auto"/>
              </w:rPr>
            </w:pPr>
            <w:r>
              <w:rPr>
                <w:rFonts w:ascii="Arial" w:cs="Arial" w:eastAsia="Arial" w:hAnsi="Arial"/>
                <w:sz w:val="18"/>
                <w:szCs w:val="18"/>
                <w:color w:val="auto"/>
              </w:rPr>
              <w:t>Adjusted EBITDA</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51,402</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ind w:right="171"/>
              <w:spacing w:after="0"/>
              <w:rPr>
                <w:sz w:val="20"/>
                <w:szCs w:val="20"/>
                <w:color w:val="auto"/>
              </w:rPr>
            </w:pPr>
            <w:r>
              <w:rPr>
                <w:rFonts w:ascii="Arial" w:cs="Arial" w:eastAsia="Arial" w:hAnsi="Arial"/>
                <w:sz w:val="18"/>
                <w:szCs w:val="18"/>
                <w:color w:val="auto"/>
              </w:rPr>
              <w:t>46,761</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5,433</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ind w:right="171"/>
              <w:spacing w:after="0"/>
              <w:rPr>
                <w:sz w:val="20"/>
                <w:szCs w:val="20"/>
                <w:color w:val="auto"/>
              </w:rPr>
            </w:pPr>
            <w:r>
              <w:rPr>
                <w:rFonts w:ascii="Arial" w:cs="Arial" w:eastAsia="Arial" w:hAnsi="Arial"/>
                <w:sz w:val="18"/>
                <w:szCs w:val="18"/>
                <w:color w:val="auto"/>
              </w:rPr>
              <w:t>5,531</w:t>
            </w:r>
          </w:p>
        </w:tc>
      </w:tr>
      <w:tr>
        <w:trPr>
          <w:trHeight w:val="20"/>
        </w:trPr>
        <w:tc>
          <w:tcPr>
            <w:tcW w:w="43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237"/>
        </w:trPr>
        <w:tc>
          <w:tcPr>
            <w:tcW w:w="43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r>
      <w:tr>
        <w:trPr>
          <w:trHeight w:val="230"/>
        </w:trPr>
        <w:tc>
          <w:tcPr>
            <w:tcW w:w="4320" w:type="dxa"/>
            <w:vAlign w:val="bottom"/>
          </w:tcPr>
          <w:p>
            <w:pPr>
              <w:spacing w:after="0"/>
              <w:rPr>
                <w:sz w:val="20"/>
                <w:szCs w:val="20"/>
                <w:color w:val="auto"/>
              </w:rPr>
            </w:pPr>
            <w:r>
              <w:rPr>
                <w:rFonts w:ascii="Arial" w:cs="Arial" w:eastAsia="Arial" w:hAnsi="Arial"/>
                <w:sz w:val="18"/>
                <w:szCs w:val="18"/>
                <w:color w:val="auto"/>
              </w:rPr>
              <w:t>Adjusted EBITDA Margin</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16.5 %</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20.3 %</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9.4 %</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24.0 %</w:t>
            </w:r>
          </w:p>
        </w:tc>
      </w:tr>
      <w:tr>
        <w:trPr>
          <w:trHeight w:val="270"/>
        </w:trPr>
        <w:tc>
          <w:tcPr>
            <w:tcW w:w="43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r>
      <w:tr>
        <w:trPr>
          <w:trHeight w:val="229"/>
        </w:trPr>
        <w:tc>
          <w:tcPr>
            <w:tcW w:w="4320" w:type="dxa"/>
            <w:vAlign w:val="bottom"/>
          </w:tcPr>
          <w:p>
            <w:pPr>
              <w:spacing w:after="0"/>
              <w:rPr>
                <w:sz w:val="20"/>
                <w:szCs w:val="20"/>
                <w:color w:val="auto"/>
              </w:rPr>
            </w:pPr>
            <w:r>
              <w:rPr>
                <w:rFonts w:ascii="Arial" w:cs="Arial" w:eastAsia="Arial" w:hAnsi="Arial"/>
                <w:sz w:val="18"/>
                <w:szCs w:val="18"/>
                <w:color w:val="auto"/>
              </w:rPr>
              <w:t>Cash Flow - Operating Activities</w:t>
            </w:r>
          </w:p>
        </w:tc>
        <w:tc>
          <w:tcPr>
            <w:tcW w:w="200" w:type="dxa"/>
            <w:vAlign w:val="bottom"/>
          </w:tcPr>
          <w:p>
            <w:pPr>
              <w:spacing w:after="0"/>
              <w:rPr>
                <w:sz w:val="19"/>
                <w:szCs w:val="19"/>
                <w:color w:val="auto"/>
              </w:rPr>
            </w:pPr>
          </w:p>
        </w:tc>
        <w:tc>
          <w:tcPr>
            <w:tcW w:w="1360" w:type="dxa"/>
            <w:vAlign w:val="bottom"/>
          </w:tcPr>
          <w:p>
            <w:pPr>
              <w:jc w:val="right"/>
              <w:ind w:right="150"/>
              <w:spacing w:after="0"/>
              <w:rPr>
                <w:sz w:val="20"/>
                <w:szCs w:val="20"/>
                <w:color w:val="auto"/>
              </w:rPr>
            </w:pPr>
            <w:r>
              <w:rPr>
                <w:rFonts w:ascii="Arial" w:cs="Arial" w:eastAsia="Arial" w:hAnsi="Arial"/>
                <w:sz w:val="18"/>
                <w:szCs w:val="18"/>
                <w:color w:val="auto"/>
              </w:rPr>
              <w:t>56,750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30"/>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Purchase of PPE, Net</w:t>
            </w:r>
          </w:p>
        </w:tc>
        <w:tc>
          <w:tcPr>
            <w:tcW w:w="2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(8,216)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23"/>
        </w:trPr>
        <w:tc>
          <w:tcPr>
            <w:tcW w:w="4320" w:type="dxa"/>
            <w:vAlign w:val="bottom"/>
          </w:tcPr>
          <w:p>
            <w:pPr>
              <w:spacing w:after="0"/>
              <w:rPr>
                <w:sz w:val="20"/>
                <w:szCs w:val="20"/>
                <w:color w:val="auto"/>
              </w:rPr>
            </w:pPr>
            <w:r>
              <w:rPr>
                <w:rFonts w:ascii="Arial" w:cs="Arial" w:eastAsia="Arial" w:hAnsi="Arial"/>
                <w:sz w:val="18"/>
                <w:szCs w:val="18"/>
                <w:color w:val="auto"/>
              </w:rPr>
              <w:t>Free Cash Flow</w:t>
            </w:r>
          </w:p>
        </w:tc>
        <w:tc>
          <w:tcPr>
            <w:tcW w:w="200" w:type="dxa"/>
            <w:vAlign w:val="bottom"/>
          </w:tcPr>
          <w:p>
            <w:pPr>
              <w:spacing w:after="0"/>
              <w:rPr>
                <w:sz w:val="19"/>
                <w:szCs w:val="19"/>
                <w:color w:val="auto"/>
              </w:rPr>
            </w:pPr>
          </w:p>
        </w:tc>
        <w:tc>
          <w:tcPr>
            <w:tcW w:w="1360" w:type="dxa"/>
            <w:vAlign w:val="bottom"/>
          </w:tcPr>
          <w:p>
            <w:pPr>
              <w:jc w:val="right"/>
              <w:ind w:right="150"/>
              <w:spacing w:after="0"/>
              <w:rPr>
                <w:sz w:val="20"/>
                <w:szCs w:val="20"/>
                <w:color w:val="auto"/>
              </w:rPr>
            </w:pPr>
            <w:r>
              <w:rPr>
                <w:rFonts w:ascii="Arial" w:cs="Arial" w:eastAsia="Arial" w:hAnsi="Arial"/>
                <w:sz w:val="18"/>
                <w:szCs w:val="18"/>
                <w:color w:val="auto"/>
              </w:rPr>
              <w:t>48,534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30"/>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Free Cash Flow - % of Net Sales</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15.6 %</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171450</wp:posOffset>
            </wp:positionV>
            <wp:extent cx="6883400" cy="1289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83400" cy="128905"/>
                    </a:xfrm>
                    <a:prstGeom prst="rect">
                      <a:avLst/>
                    </a:prstGeom>
                    <a:noFill/>
                  </pic:spPr>
                </pic:pic>
              </a:graphicData>
            </a:graphic>
          </wp:anchor>
        </w:drawing>
      </w:r>
    </w:p>
    <w:p>
      <w:pPr>
        <w:spacing w:after="0" w:line="254" w:lineRule="exact"/>
        <w:rPr>
          <w:sz w:val="20"/>
          <w:szCs w:val="20"/>
          <w:color w:val="auto"/>
        </w:rPr>
      </w:pPr>
    </w:p>
    <w:p>
      <w:pPr>
        <w:spacing w:after="0"/>
        <w:rPr>
          <w:sz w:val="20"/>
          <w:szCs w:val="20"/>
          <w:color w:val="auto"/>
        </w:rPr>
      </w:pPr>
      <w:r>
        <w:rPr>
          <w:rFonts w:ascii="Arial" w:cs="Arial" w:eastAsia="Arial" w:hAnsi="Arial"/>
          <w:sz w:val="14"/>
          <w:szCs w:val="14"/>
          <w:color w:val="auto"/>
        </w:rPr>
        <w:t>*Adjusted Measures details are presented on the corresponding Reconciliation of GAAP and Adjusted Financial Measures</w:t>
      </w:r>
    </w:p>
    <w:p>
      <w:pPr>
        <w:sectPr>
          <w:pgSz w:w="11900" w:h="16838" w:orient="portrait"/>
          <w:cols w:equalWidth="0" w:num="1">
            <w:col w:w="10840"/>
          </w:cols>
          <w:pgMar w:left="540" w:top="1417" w:right="51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5205730</wp:posOffset>
            </wp:positionH>
            <wp:positionV relativeFrom="page">
              <wp:posOffset>243205</wp:posOffset>
            </wp:positionV>
            <wp:extent cx="2134235" cy="2743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clrChange>
                        <a:clrFrom>
                          <a:srgbClr val="FFFFFF"/>
                        </a:clrFrom>
                        <a:clrTo>
                          <a:srgbClr val="FFFFFF">
                            <a:alpha val="0"/>
                          </a:srgbClr>
                        </a:clrTo>
                      </a:clrChange>
                      <a:extLst>
                        <a:ext uri="{28A0092B-C50C-407E-A947-70E740481C1C}"/>
                      </a:extLst>
                    </a:blip>
                    <a:srcRect/>
                    <a:stretch>
                      <a:fillRect/>
                    </a:stretch>
                  </pic:blipFill>
                  <pic:spPr bwMode="auto">
                    <a:xfrm>
                      <a:off x="0" y="0"/>
                      <a:ext cx="2134235" cy="274320"/>
                    </a:xfrm>
                    <a:prstGeom prst="rect">
                      <a:avLst/>
                    </a:prstGeom>
                    <a:noFill/>
                  </pic:spPr>
                </pic:pic>
              </a:graphicData>
            </a:graphic>
          </wp:anchor>
        </w:drawing>
        <w:t>GIBRALTAR INDUSTRIES,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Reconciliation of Adjusted Financial Measures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Nine Months Ended September 30, 2026</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tcPr>
          <w:p>
            <w:pPr>
              <w:jc w:val="right"/>
              <w:ind w:right="290"/>
              <w:spacing w:after="0"/>
              <w:rPr>
                <w:sz w:val="20"/>
                <w:szCs w:val="20"/>
                <w:color w:val="auto"/>
              </w:rPr>
            </w:pPr>
            <w:r>
              <w:rPr>
                <w:rFonts w:ascii="Arial" w:cs="Arial" w:eastAsia="Arial" w:hAnsi="Arial"/>
                <w:sz w:val="16"/>
                <w:szCs w:val="16"/>
                <w:color w:val="auto"/>
              </w:rPr>
              <w:t>Consolidated</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60" w:type="dxa"/>
            <w:vAlign w:val="bottom"/>
            <w:gridSpan w:val="2"/>
          </w:tcPr>
          <w:p>
            <w:pPr>
              <w:ind w:left="160"/>
              <w:spacing w:after="0"/>
              <w:rPr>
                <w:sz w:val="20"/>
                <w:szCs w:val="20"/>
                <w:color w:val="auto"/>
              </w:rPr>
            </w:pPr>
            <w:r>
              <w:rPr>
                <w:rFonts w:ascii="Arial" w:cs="Arial" w:eastAsia="Arial" w:hAnsi="Arial"/>
                <w:sz w:val="16"/>
                <w:szCs w:val="16"/>
                <w:color w:val="auto"/>
              </w:rPr>
              <w:t>Residential</w:t>
            </w:r>
          </w:p>
        </w:tc>
        <w:tc>
          <w:tcPr>
            <w:tcW w:w="300" w:type="dxa"/>
            <w:vAlign w:val="bottom"/>
          </w:tcPr>
          <w:p>
            <w:pPr>
              <w:spacing w:after="0"/>
              <w:rPr>
                <w:sz w:val="18"/>
                <w:szCs w:val="18"/>
                <w:color w:val="auto"/>
              </w:rPr>
            </w:pPr>
          </w:p>
        </w:tc>
        <w:tc>
          <w:tcPr>
            <w:tcW w:w="1320" w:type="dxa"/>
            <w:vAlign w:val="bottom"/>
            <w:gridSpan w:val="2"/>
          </w:tcPr>
          <w:p>
            <w:pPr>
              <w:ind w:left="200"/>
              <w:spacing w:after="0"/>
              <w:rPr>
                <w:sz w:val="20"/>
                <w:szCs w:val="20"/>
                <w:color w:val="auto"/>
              </w:rPr>
            </w:pPr>
            <w:r>
              <w:rPr>
                <w:rFonts w:ascii="Arial" w:cs="Arial" w:eastAsia="Arial" w:hAnsi="Arial"/>
                <w:sz w:val="16"/>
                <w:szCs w:val="16"/>
                <w:color w:val="auto"/>
              </w:rPr>
              <w:t>Agtech</w:t>
            </w:r>
          </w:p>
        </w:tc>
        <w:tc>
          <w:tcPr>
            <w:tcW w:w="200" w:type="dxa"/>
            <w:vAlign w:val="bottom"/>
          </w:tcPr>
          <w:p>
            <w:pPr>
              <w:spacing w:after="0"/>
              <w:rPr>
                <w:sz w:val="18"/>
                <w:szCs w:val="18"/>
                <w:color w:val="auto"/>
              </w:rPr>
            </w:pPr>
          </w:p>
        </w:tc>
        <w:tc>
          <w:tcPr>
            <w:tcW w:w="1360" w:type="dxa"/>
            <w:vAlign w:val="bottom"/>
          </w:tcPr>
          <w:p>
            <w:pPr>
              <w:jc w:val="right"/>
              <w:ind w:right="211"/>
              <w:spacing w:after="0"/>
              <w:rPr>
                <w:sz w:val="20"/>
                <w:szCs w:val="20"/>
                <w:color w:val="auto"/>
              </w:rPr>
            </w:pPr>
            <w:r>
              <w:rPr>
                <w:rFonts w:ascii="Arial" w:cs="Arial" w:eastAsia="Arial" w:hAnsi="Arial"/>
                <w:sz w:val="16"/>
                <w:szCs w:val="16"/>
                <w:color w:val="auto"/>
              </w:rPr>
              <w:t>Infrastructure</w:t>
            </w:r>
          </w:p>
        </w:tc>
      </w:tr>
      <w:tr>
        <w:trPr>
          <w:trHeight w:val="128"/>
        </w:trPr>
        <w:tc>
          <w:tcPr>
            <w:tcW w:w="436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4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144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360" w:type="dxa"/>
            <w:vAlign w:val="bottom"/>
            <w:tcBorders>
              <w:top w:val="single" w:sz="8" w:color="auto"/>
            </w:tcBorders>
          </w:tcPr>
          <w:p>
            <w:pPr>
              <w:spacing w:after="0"/>
              <w:rPr>
                <w:sz w:val="11"/>
                <w:szCs w:val="11"/>
                <w:color w:val="auto"/>
              </w:rPr>
            </w:pPr>
          </w:p>
        </w:tc>
      </w:tr>
      <w:tr>
        <w:trPr>
          <w:trHeight w:val="230"/>
        </w:trPr>
        <w:tc>
          <w:tcPr>
            <w:tcW w:w="4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1,345,404</w:t>
            </w:r>
          </w:p>
        </w:tc>
        <w:tc>
          <w:tcPr>
            <w:tcW w:w="42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1,106,239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173,788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65,377</w:t>
            </w:r>
          </w:p>
        </w:tc>
      </w:tr>
      <w:tr>
        <w:trPr>
          <w:trHeight w:val="256"/>
        </w:trPr>
        <w:tc>
          <w:tcPr>
            <w:tcW w:w="43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60" w:type="dxa"/>
            <w:vAlign w:val="bottom"/>
          </w:tcPr>
          <w:p>
            <w:pPr>
              <w:spacing w:after="0"/>
              <w:rPr>
                <w:sz w:val="22"/>
                <w:szCs w:val="22"/>
                <w:color w:val="auto"/>
              </w:rPr>
            </w:pPr>
          </w:p>
        </w:tc>
      </w:tr>
      <w:tr>
        <w:trPr>
          <w:trHeight w:val="230"/>
        </w:trPr>
        <w:tc>
          <w:tcPr>
            <w:tcW w:w="4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from Continuing Operations</w:t>
            </w: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35,907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29"/>
        </w:trPr>
        <w:tc>
          <w:tcPr>
            <w:tcW w:w="4360" w:type="dxa"/>
            <w:vAlign w:val="bottom"/>
          </w:tcPr>
          <w:p>
            <w:pPr>
              <w:ind w:left="20"/>
              <w:spacing w:after="0"/>
              <w:rPr>
                <w:sz w:val="20"/>
                <w:szCs w:val="20"/>
                <w:color w:val="auto"/>
              </w:rPr>
            </w:pPr>
            <w:r>
              <w:rPr>
                <w:rFonts w:ascii="Arial" w:cs="Arial" w:eastAsia="Arial" w:hAnsi="Arial"/>
                <w:sz w:val="18"/>
                <w:szCs w:val="18"/>
                <w:color w:val="auto"/>
              </w:rPr>
              <w:t>Provision for Income Taxes</w:t>
            </w:r>
          </w:p>
        </w:tc>
        <w:tc>
          <w:tcPr>
            <w:tcW w:w="240" w:type="dxa"/>
            <w:vAlign w:val="bottom"/>
          </w:tcPr>
          <w:p>
            <w:pPr>
              <w:spacing w:after="0"/>
              <w:rPr>
                <w:sz w:val="19"/>
                <w:szCs w:val="19"/>
                <w:color w:val="auto"/>
              </w:rPr>
            </w:pPr>
          </w:p>
        </w:tc>
        <w:tc>
          <w:tcPr>
            <w:tcW w:w="1480" w:type="dxa"/>
            <w:vAlign w:val="bottom"/>
          </w:tcPr>
          <w:p>
            <w:pPr>
              <w:jc w:val="right"/>
              <w:ind w:right="150"/>
              <w:spacing w:after="0"/>
              <w:rPr>
                <w:sz w:val="20"/>
                <w:szCs w:val="20"/>
                <w:color w:val="auto"/>
              </w:rPr>
            </w:pPr>
            <w:r>
              <w:rPr>
                <w:rFonts w:ascii="Arial" w:cs="Arial" w:eastAsia="Arial" w:hAnsi="Arial"/>
                <w:sz w:val="18"/>
                <w:szCs w:val="18"/>
                <w:color w:val="auto"/>
              </w:rPr>
              <w:t>15,847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29"/>
        </w:trPr>
        <w:tc>
          <w:tcPr>
            <w:tcW w:w="4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55,511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30"/>
        </w:trPr>
        <w:tc>
          <w:tcPr>
            <w:tcW w:w="4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Income</w:t>
            </w:r>
          </w:p>
        </w:tc>
        <w:tc>
          <w:tcPr>
            <w:tcW w:w="2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(2,640)</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14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12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360" w:type="dxa"/>
            <w:vAlign w:val="bottom"/>
            <w:tcBorders>
              <w:bottom w:val="single" w:sz="8" w:color="CCEEFF"/>
            </w:tcBorders>
          </w:tcPr>
          <w:p>
            <w:pPr>
              <w:spacing w:after="0"/>
              <w:rPr>
                <w:sz w:val="19"/>
                <w:szCs w:val="19"/>
                <w:color w:val="auto"/>
              </w:rPr>
            </w:pPr>
          </w:p>
        </w:tc>
      </w:tr>
      <w:tr>
        <w:trPr>
          <w:trHeight w:val="223"/>
        </w:trPr>
        <w:tc>
          <w:tcPr>
            <w:tcW w:w="4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Profit</w:t>
            </w: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104,625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130,077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14,386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13,743</w:t>
            </w:r>
          </w:p>
        </w:tc>
      </w:tr>
      <w:tr>
        <w:trPr>
          <w:trHeight w:val="230"/>
        </w:trPr>
        <w:tc>
          <w:tcPr>
            <w:tcW w:w="4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Adjusted Measures*</w:t>
            </w:r>
          </w:p>
        </w:tc>
        <w:tc>
          <w:tcPr>
            <w:tcW w:w="2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51,085</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20,112</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931</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w:t>
            </w:r>
          </w:p>
        </w:tc>
      </w:tr>
      <w:tr>
        <w:trPr>
          <w:trHeight w:val="223"/>
        </w:trPr>
        <w:tc>
          <w:tcPr>
            <w:tcW w:w="4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Adjusted Operating Profit</w:t>
            </w: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155,710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150,189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15,317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13,743</w:t>
            </w:r>
          </w:p>
        </w:tc>
      </w:tr>
      <w:tr>
        <w:trPr>
          <w:trHeight w:val="230"/>
        </w:trPr>
        <w:tc>
          <w:tcPr>
            <w:tcW w:w="4360" w:type="dxa"/>
            <w:vAlign w:val="bottom"/>
          </w:tcPr>
          <w:p>
            <w:pPr>
              <w:ind w:left="20"/>
              <w:spacing w:after="0"/>
              <w:rPr>
                <w:sz w:val="20"/>
                <w:szCs w:val="20"/>
                <w:color w:val="auto"/>
              </w:rPr>
            </w:pPr>
            <w:r>
              <w:rPr>
                <w:rFonts w:ascii="Arial" w:cs="Arial" w:eastAsia="Arial" w:hAnsi="Arial"/>
                <w:sz w:val="18"/>
                <w:szCs w:val="18"/>
                <w:color w:val="auto"/>
              </w:rPr>
              <w:t>Adjusted Operating Margin</w:t>
            </w:r>
          </w:p>
        </w:tc>
        <w:tc>
          <w:tcPr>
            <w:tcW w:w="2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11.6 %</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13.6 %</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8.8 %</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21.0 %</w:t>
            </w:r>
          </w:p>
        </w:tc>
      </w:tr>
      <w:tr>
        <w:trPr>
          <w:trHeight w:val="229"/>
        </w:trPr>
        <w:tc>
          <w:tcPr>
            <w:tcW w:w="4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Adjusted Other (Income) Expense</w:t>
            </w: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(2,494)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(2,231)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192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10</w:t>
            </w:r>
          </w:p>
        </w:tc>
      </w:tr>
      <w:tr>
        <w:trPr>
          <w:trHeight w:val="230"/>
        </w:trPr>
        <w:tc>
          <w:tcPr>
            <w:tcW w:w="4360" w:type="dxa"/>
            <w:vAlign w:val="bottom"/>
          </w:tcPr>
          <w:p>
            <w:pPr>
              <w:ind w:left="20"/>
              <w:spacing w:after="0"/>
              <w:rPr>
                <w:sz w:val="20"/>
                <w:szCs w:val="20"/>
                <w:color w:val="auto"/>
              </w:rPr>
            </w:pPr>
            <w:r>
              <w:rPr>
                <w:rFonts w:ascii="Arial" w:cs="Arial" w:eastAsia="Arial" w:hAnsi="Arial"/>
                <w:sz w:val="18"/>
                <w:szCs w:val="18"/>
                <w:color w:val="auto"/>
              </w:rPr>
              <w:t>Depreciation &amp; Amortization</w:t>
            </w:r>
          </w:p>
        </w:tc>
        <w:tc>
          <w:tcPr>
            <w:tcW w:w="240" w:type="dxa"/>
            <w:vAlign w:val="bottom"/>
          </w:tcPr>
          <w:p>
            <w:pPr>
              <w:spacing w:after="0"/>
              <w:rPr>
                <w:sz w:val="19"/>
                <w:szCs w:val="19"/>
                <w:color w:val="auto"/>
              </w:rPr>
            </w:pPr>
          </w:p>
        </w:tc>
        <w:tc>
          <w:tcPr>
            <w:tcW w:w="1480" w:type="dxa"/>
            <w:vAlign w:val="bottom"/>
          </w:tcPr>
          <w:p>
            <w:pPr>
              <w:jc w:val="right"/>
              <w:ind w:right="150"/>
              <w:spacing w:after="0"/>
              <w:rPr>
                <w:sz w:val="20"/>
                <w:szCs w:val="20"/>
                <w:color w:val="auto"/>
              </w:rPr>
            </w:pPr>
            <w:r>
              <w:rPr>
                <w:rFonts w:ascii="Arial" w:cs="Arial" w:eastAsia="Arial" w:hAnsi="Arial"/>
                <w:sz w:val="18"/>
                <w:szCs w:val="18"/>
                <w:color w:val="auto"/>
              </w:rPr>
              <w:t>55,607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40" w:type="dxa"/>
            <w:vAlign w:val="bottom"/>
          </w:tcPr>
          <w:p>
            <w:pPr>
              <w:jc w:val="right"/>
              <w:ind w:right="151"/>
              <w:spacing w:after="0"/>
              <w:rPr>
                <w:sz w:val="20"/>
                <w:szCs w:val="20"/>
                <w:color w:val="auto"/>
              </w:rPr>
            </w:pPr>
            <w:r>
              <w:rPr>
                <w:rFonts w:ascii="Arial" w:cs="Arial" w:eastAsia="Arial" w:hAnsi="Arial"/>
                <w:sz w:val="18"/>
                <w:szCs w:val="18"/>
                <w:color w:val="auto"/>
              </w:rPr>
              <w:t>45,141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jc w:val="right"/>
              <w:ind w:right="151"/>
              <w:spacing w:after="0"/>
              <w:rPr>
                <w:sz w:val="20"/>
                <w:szCs w:val="20"/>
                <w:color w:val="auto"/>
              </w:rPr>
            </w:pPr>
            <w:r>
              <w:rPr>
                <w:rFonts w:ascii="Arial" w:cs="Arial" w:eastAsia="Arial" w:hAnsi="Arial"/>
                <w:sz w:val="18"/>
                <w:szCs w:val="18"/>
                <w:color w:val="auto"/>
              </w:rPr>
              <w:t>6,059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ind w:right="151"/>
              <w:spacing w:after="0"/>
              <w:rPr>
                <w:sz w:val="20"/>
                <w:szCs w:val="20"/>
                <w:color w:val="auto"/>
              </w:rPr>
            </w:pPr>
            <w:r>
              <w:rPr>
                <w:rFonts w:ascii="Arial" w:cs="Arial" w:eastAsia="Arial" w:hAnsi="Arial"/>
                <w:sz w:val="18"/>
                <w:szCs w:val="18"/>
                <w:color w:val="auto"/>
              </w:rPr>
              <w:t>1,487</w:t>
            </w:r>
          </w:p>
        </w:tc>
      </w:tr>
      <w:tr>
        <w:trPr>
          <w:trHeight w:val="229"/>
        </w:trPr>
        <w:tc>
          <w:tcPr>
            <w:tcW w:w="4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 Compensation Expense</w:t>
            </w: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7,035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2,657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623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200</w:t>
            </w:r>
          </w:p>
        </w:tc>
      </w:tr>
      <w:tr>
        <w:trPr>
          <w:trHeight w:val="229"/>
        </w:trPr>
        <w:tc>
          <w:tcPr>
            <w:tcW w:w="4360" w:type="dxa"/>
            <w:vAlign w:val="bottom"/>
          </w:tcPr>
          <w:p>
            <w:pPr>
              <w:ind w:left="20"/>
              <w:spacing w:after="0"/>
              <w:rPr>
                <w:sz w:val="20"/>
                <w:szCs w:val="20"/>
                <w:color w:val="auto"/>
              </w:rPr>
            </w:pPr>
            <w:r>
              <w:rPr>
                <w:rFonts w:ascii="Arial" w:cs="Arial" w:eastAsia="Arial" w:hAnsi="Arial"/>
                <w:sz w:val="18"/>
                <w:szCs w:val="18"/>
                <w:color w:val="auto"/>
              </w:rPr>
              <w:t>Less: SLT Related Stock Compensation Expense</w:t>
            </w:r>
          </w:p>
        </w:tc>
        <w:tc>
          <w:tcPr>
            <w:tcW w:w="240" w:type="dxa"/>
            <w:vAlign w:val="bottom"/>
          </w:tcPr>
          <w:p>
            <w:pPr>
              <w:spacing w:after="0"/>
              <w:rPr>
                <w:sz w:val="19"/>
                <w:szCs w:val="19"/>
                <w:color w:val="auto"/>
              </w:rPr>
            </w:pPr>
          </w:p>
        </w:tc>
        <w:tc>
          <w:tcPr>
            <w:tcW w:w="1480" w:type="dxa"/>
            <w:vAlign w:val="bottom"/>
          </w:tcPr>
          <w:p>
            <w:pPr>
              <w:jc w:val="right"/>
              <w:ind w:right="90"/>
              <w:spacing w:after="0"/>
              <w:rPr>
                <w:sz w:val="20"/>
                <w:szCs w:val="20"/>
                <w:color w:val="auto"/>
              </w:rPr>
            </w:pPr>
            <w:r>
              <w:rPr>
                <w:rFonts w:ascii="Arial" w:cs="Arial" w:eastAsia="Arial" w:hAnsi="Arial"/>
                <w:sz w:val="18"/>
                <w:szCs w:val="18"/>
                <w:color w:val="auto"/>
              </w:rPr>
              <w:t>(329)</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40" w:type="dxa"/>
            <w:vAlign w:val="bottom"/>
          </w:tcPr>
          <w:p>
            <w:pPr>
              <w:jc w:val="right"/>
              <w:ind w:right="111"/>
              <w:spacing w:after="0"/>
              <w:rPr>
                <w:sz w:val="20"/>
                <w:szCs w:val="20"/>
                <w:color w:val="auto"/>
              </w:rPr>
            </w:pPr>
            <w:r>
              <w:rPr>
                <w:rFonts w:ascii="Arial" w:cs="Arial" w:eastAsia="Arial" w:hAnsi="Arial"/>
                <w:sz w:val="18"/>
                <w:szCs w:val="18"/>
                <w:color w:val="auto"/>
              </w:rPr>
              <w:t>(295)</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360" w:type="dxa"/>
            <w:vAlign w:val="bottom"/>
          </w:tcPr>
          <w:p>
            <w:pPr>
              <w:jc w:val="right"/>
              <w:ind w:right="151"/>
              <w:spacing w:after="0"/>
              <w:rPr>
                <w:sz w:val="20"/>
                <w:szCs w:val="20"/>
                <w:color w:val="auto"/>
              </w:rPr>
            </w:pPr>
            <w:r>
              <w:rPr>
                <w:rFonts w:ascii="Arial" w:cs="Arial" w:eastAsia="Arial" w:hAnsi="Arial"/>
                <w:sz w:val="18"/>
                <w:szCs w:val="18"/>
                <w:color w:val="auto"/>
              </w:rPr>
              <w:t>—</w:t>
            </w:r>
          </w:p>
        </w:tc>
      </w:tr>
      <w:tr>
        <w:trPr>
          <w:trHeight w:val="223"/>
        </w:trPr>
        <w:tc>
          <w:tcPr>
            <w:tcW w:w="4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Adjusted Stock Compensation Expense</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148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6,706</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1440" w:type="dxa"/>
            <w:vAlign w:val="bottom"/>
            <w:tcBorders>
              <w:top w:val="single" w:sz="8" w:color="auto"/>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2,362</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1200" w:type="dxa"/>
            <w:vAlign w:val="bottom"/>
            <w:tcBorders>
              <w:top w:val="single" w:sz="8" w:color="auto"/>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623</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1360" w:type="dxa"/>
            <w:vAlign w:val="bottom"/>
            <w:tcBorders>
              <w:top w:val="single" w:sz="8" w:color="auto"/>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200</w:t>
            </w:r>
          </w:p>
        </w:tc>
      </w:tr>
      <w:tr>
        <w:trPr>
          <w:trHeight w:val="223"/>
        </w:trPr>
        <w:tc>
          <w:tcPr>
            <w:tcW w:w="4360" w:type="dxa"/>
            <w:vAlign w:val="bottom"/>
          </w:tcPr>
          <w:p>
            <w:pPr>
              <w:ind w:left="20"/>
              <w:spacing w:after="0"/>
              <w:rPr>
                <w:sz w:val="20"/>
                <w:szCs w:val="20"/>
                <w:color w:val="auto"/>
              </w:rPr>
            </w:pPr>
            <w:r>
              <w:rPr>
                <w:rFonts w:ascii="Arial" w:cs="Arial" w:eastAsia="Arial" w:hAnsi="Arial"/>
                <w:sz w:val="18"/>
                <w:szCs w:val="18"/>
                <w:color w:val="auto"/>
              </w:rPr>
              <w:t>Adjusted EBITDA</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220,517</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199,923</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21,807</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15,420</w:t>
            </w:r>
          </w:p>
        </w:tc>
      </w:tr>
      <w:tr>
        <w:trPr>
          <w:trHeight w:val="20"/>
        </w:trPr>
        <w:tc>
          <w:tcPr>
            <w:tcW w:w="43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237"/>
        </w:trPr>
        <w:tc>
          <w:tcPr>
            <w:tcW w:w="43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r>
      <w:tr>
        <w:trPr>
          <w:trHeight w:val="229"/>
        </w:trPr>
        <w:tc>
          <w:tcPr>
            <w:tcW w:w="4360" w:type="dxa"/>
            <w:vAlign w:val="bottom"/>
          </w:tcPr>
          <w:p>
            <w:pPr>
              <w:ind w:left="20"/>
              <w:spacing w:after="0"/>
              <w:rPr>
                <w:sz w:val="20"/>
                <w:szCs w:val="20"/>
                <w:color w:val="auto"/>
              </w:rPr>
            </w:pPr>
            <w:r>
              <w:rPr>
                <w:rFonts w:ascii="Arial" w:cs="Arial" w:eastAsia="Arial" w:hAnsi="Arial"/>
                <w:sz w:val="18"/>
                <w:szCs w:val="18"/>
                <w:color w:val="auto"/>
              </w:rPr>
              <w:t>Adjusted EBITDA Margin</w:t>
            </w:r>
          </w:p>
        </w:tc>
        <w:tc>
          <w:tcPr>
            <w:tcW w:w="2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16.4 %</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18.1 %</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12.5 %</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23.6 %</w:t>
            </w:r>
          </w:p>
        </w:tc>
      </w:tr>
      <w:tr>
        <w:trPr>
          <w:trHeight w:val="270"/>
        </w:trPr>
        <w:tc>
          <w:tcPr>
            <w:tcW w:w="436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r>
      <w:tr>
        <w:trPr>
          <w:trHeight w:val="230"/>
        </w:trPr>
        <w:tc>
          <w:tcPr>
            <w:tcW w:w="4360" w:type="dxa"/>
            <w:vAlign w:val="bottom"/>
          </w:tcPr>
          <w:p>
            <w:pPr>
              <w:ind w:left="20"/>
              <w:spacing w:after="0"/>
              <w:rPr>
                <w:sz w:val="20"/>
                <w:szCs w:val="20"/>
                <w:color w:val="auto"/>
              </w:rPr>
            </w:pPr>
            <w:r>
              <w:rPr>
                <w:rFonts w:ascii="Arial" w:cs="Arial" w:eastAsia="Arial" w:hAnsi="Arial"/>
                <w:sz w:val="18"/>
                <w:szCs w:val="18"/>
                <w:color w:val="auto"/>
              </w:rPr>
              <w:t>Cash Flow - Operating Activities</w:t>
            </w:r>
          </w:p>
        </w:tc>
        <w:tc>
          <w:tcPr>
            <w:tcW w:w="240" w:type="dxa"/>
            <w:vAlign w:val="bottom"/>
          </w:tcPr>
          <w:p>
            <w:pPr>
              <w:spacing w:after="0"/>
              <w:rPr>
                <w:sz w:val="19"/>
                <w:szCs w:val="19"/>
                <w:color w:val="auto"/>
              </w:rPr>
            </w:pPr>
          </w:p>
        </w:tc>
        <w:tc>
          <w:tcPr>
            <w:tcW w:w="1480" w:type="dxa"/>
            <w:vAlign w:val="bottom"/>
          </w:tcPr>
          <w:p>
            <w:pPr>
              <w:jc w:val="right"/>
              <w:ind w:right="150"/>
              <w:spacing w:after="0"/>
              <w:rPr>
                <w:sz w:val="20"/>
                <w:szCs w:val="20"/>
                <w:color w:val="auto"/>
              </w:rPr>
            </w:pPr>
            <w:r>
              <w:rPr>
                <w:rFonts w:ascii="Arial" w:cs="Arial" w:eastAsia="Arial" w:hAnsi="Arial"/>
                <w:sz w:val="18"/>
                <w:szCs w:val="18"/>
                <w:color w:val="auto"/>
              </w:rPr>
              <w:t>19,366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30"/>
        </w:trPr>
        <w:tc>
          <w:tcPr>
            <w:tcW w:w="4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Purchase of PPE, Net</w:t>
            </w:r>
          </w:p>
        </w:tc>
        <w:tc>
          <w:tcPr>
            <w:tcW w:w="24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(12,603)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23"/>
        </w:trPr>
        <w:tc>
          <w:tcPr>
            <w:tcW w:w="4360" w:type="dxa"/>
            <w:vAlign w:val="bottom"/>
          </w:tcPr>
          <w:p>
            <w:pPr>
              <w:ind w:left="20"/>
              <w:spacing w:after="0"/>
              <w:rPr>
                <w:sz w:val="20"/>
                <w:szCs w:val="20"/>
                <w:color w:val="auto"/>
              </w:rPr>
            </w:pPr>
            <w:r>
              <w:rPr>
                <w:rFonts w:ascii="Arial" w:cs="Arial" w:eastAsia="Arial" w:hAnsi="Arial"/>
                <w:sz w:val="18"/>
                <w:szCs w:val="18"/>
                <w:color w:val="auto"/>
              </w:rPr>
              <w:t>Free Cash Flow</w:t>
            </w:r>
          </w:p>
        </w:tc>
        <w:tc>
          <w:tcPr>
            <w:tcW w:w="240" w:type="dxa"/>
            <w:vAlign w:val="bottom"/>
          </w:tcPr>
          <w:p>
            <w:pPr>
              <w:spacing w:after="0"/>
              <w:rPr>
                <w:sz w:val="19"/>
                <w:szCs w:val="19"/>
                <w:color w:val="auto"/>
              </w:rPr>
            </w:pPr>
          </w:p>
        </w:tc>
        <w:tc>
          <w:tcPr>
            <w:tcW w:w="1480" w:type="dxa"/>
            <w:vAlign w:val="bottom"/>
          </w:tcPr>
          <w:p>
            <w:pPr>
              <w:jc w:val="right"/>
              <w:ind w:right="150"/>
              <w:spacing w:after="0"/>
              <w:rPr>
                <w:sz w:val="20"/>
                <w:szCs w:val="20"/>
                <w:color w:val="auto"/>
              </w:rPr>
            </w:pPr>
            <w:r>
              <w:rPr>
                <w:rFonts w:ascii="Arial" w:cs="Arial" w:eastAsia="Arial" w:hAnsi="Arial"/>
                <w:sz w:val="18"/>
                <w:szCs w:val="18"/>
                <w:color w:val="auto"/>
              </w:rPr>
              <w:t>6,763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30"/>
        </w:trPr>
        <w:tc>
          <w:tcPr>
            <w:tcW w:w="4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Free Cash Flow - % of Net Sales</w:t>
            </w: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0.5 %</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162560</wp:posOffset>
            </wp:positionV>
            <wp:extent cx="7132320" cy="1289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241" w:lineRule="exact"/>
        <w:rPr>
          <w:sz w:val="20"/>
          <w:szCs w:val="20"/>
          <w:color w:val="auto"/>
        </w:rPr>
      </w:pPr>
    </w:p>
    <w:p>
      <w:pPr>
        <w:ind w:left="20"/>
        <w:spacing w:after="0"/>
        <w:rPr>
          <w:sz w:val="20"/>
          <w:szCs w:val="20"/>
          <w:color w:val="auto"/>
        </w:rPr>
      </w:pPr>
      <w:r>
        <w:rPr>
          <w:rFonts w:ascii="Arial" w:cs="Arial" w:eastAsia="Arial" w:hAnsi="Arial"/>
          <w:sz w:val="14"/>
          <w:szCs w:val="14"/>
          <w:color w:val="auto"/>
        </w:rPr>
        <w:t>*Adjusted Measures details are presented on the corresponding Reconciliation of GAAP and Adjusted Financial Measures</w:t>
      </w:r>
    </w:p>
    <w:p>
      <w:pPr>
        <w:sectPr>
          <w:pgSz w:w="11900" w:h="16838" w:orient="portrait"/>
          <w:cols w:equalWidth="0" w:num="1">
            <w:col w:w="11240"/>
          </w:cols>
          <w:pgMar w:left="320" w:top="1417" w:right="339" w:bottom="1440" w:gutter="0" w:footer="0" w:header="0"/>
        </w:sectPr>
      </w:pPr>
    </w:p>
    <w:bookmarkStart w:id="20" w:name="page21"/>
    <w:bookmarkEnd w:id="20"/>
    <w:p>
      <w:pPr>
        <w:jc w:val="center"/>
        <w:ind w:right="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5205730</wp:posOffset>
            </wp:positionH>
            <wp:positionV relativeFrom="page">
              <wp:posOffset>243205</wp:posOffset>
            </wp:positionV>
            <wp:extent cx="2134235" cy="2743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clrChange>
                        <a:clrFrom>
                          <a:srgbClr val="FFFFFF"/>
                        </a:clrFrom>
                        <a:clrTo>
                          <a:srgbClr val="FFFFFF">
                            <a:alpha val="0"/>
                          </a:srgbClr>
                        </a:clrTo>
                      </a:clrChange>
                      <a:extLst>
                        <a:ext uri="{28A0092B-C50C-407E-A947-70E740481C1C}"/>
                      </a:extLst>
                    </a:blip>
                    <a:srcRect/>
                    <a:stretch>
                      <a:fillRect/>
                    </a:stretch>
                  </pic:blipFill>
                  <pic:spPr bwMode="auto">
                    <a:xfrm>
                      <a:off x="0" y="0"/>
                      <a:ext cx="2134235" cy="274320"/>
                    </a:xfrm>
                    <a:prstGeom prst="rect">
                      <a:avLst/>
                    </a:prstGeom>
                    <a:noFill/>
                  </pic:spPr>
                </pic:pic>
              </a:graphicData>
            </a:graphic>
          </wp:anchor>
        </w:drawing>
        <w:t>GIBRALTAR INDUSTRIES, INC.</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Reconciliation of Adjusted Financial Measures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(unaudited)</w:t>
      </w:r>
    </w:p>
    <w:p>
      <w:pPr>
        <w:spacing w:after="0" w:line="27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Nine Months Ended September 30, 2025</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right"/>
              <w:ind w:right="210"/>
              <w:spacing w:after="0"/>
              <w:rPr>
                <w:sz w:val="20"/>
                <w:szCs w:val="20"/>
                <w:color w:val="auto"/>
              </w:rPr>
            </w:pPr>
            <w:r>
              <w:rPr>
                <w:rFonts w:ascii="Arial" w:cs="Arial" w:eastAsia="Arial" w:hAnsi="Arial"/>
                <w:sz w:val="16"/>
                <w:szCs w:val="16"/>
                <w:color w:val="auto"/>
              </w:rPr>
              <w:t>Consolidated</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gridSpan w:val="2"/>
          </w:tcPr>
          <w:p>
            <w:pPr>
              <w:ind w:left="140"/>
              <w:spacing w:after="0"/>
              <w:rPr>
                <w:sz w:val="20"/>
                <w:szCs w:val="20"/>
                <w:color w:val="auto"/>
              </w:rPr>
            </w:pPr>
            <w:r>
              <w:rPr>
                <w:rFonts w:ascii="Arial" w:cs="Arial" w:eastAsia="Arial" w:hAnsi="Arial"/>
                <w:sz w:val="16"/>
                <w:szCs w:val="16"/>
                <w:color w:val="auto"/>
              </w:rPr>
              <w:t>Residential</w:t>
            </w:r>
          </w:p>
        </w:tc>
        <w:tc>
          <w:tcPr>
            <w:tcW w:w="300" w:type="dxa"/>
            <w:vAlign w:val="bottom"/>
          </w:tcPr>
          <w:p>
            <w:pPr>
              <w:spacing w:after="0"/>
              <w:rPr>
                <w:sz w:val="18"/>
                <w:szCs w:val="18"/>
                <w:color w:val="auto"/>
              </w:rPr>
            </w:pPr>
          </w:p>
        </w:tc>
        <w:tc>
          <w:tcPr>
            <w:tcW w:w="1300" w:type="dxa"/>
            <w:vAlign w:val="bottom"/>
            <w:gridSpan w:val="2"/>
          </w:tcPr>
          <w:p>
            <w:pPr>
              <w:ind w:left="180"/>
              <w:spacing w:after="0"/>
              <w:rPr>
                <w:sz w:val="20"/>
                <w:szCs w:val="20"/>
                <w:color w:val="auto"/>
              </w:rPr>
            </w:pPr>
            <w:r>
              <w:rPr>
                <w:rFonts w:ascii="Arial" w:cs="Arial" w:eastAsia="Arial" w:hAnsi="Arial"/>
                <w:sz w:val="16"/>
                <w:szCs w:val="16"/>
                <w:color w:val="auto"/>
              </w:rPr>
              <w:t>Agtech</w:t>
            </w:r>
          </w:p>
        </w:tc>
        <w:tc>
          <w:tcPr>
            <w:tcW w:w="220" w:type="dxa"/>
            <w:vAlign w:val="bottom"/>
          </w:tcPr>
          <w:p>
            <w:pPr>
              <w:spacing w:after="0"/>
              <w:rPr>
                <w:sz w:val="18"/>
                <w:szCs w:val="18"/>
                <w:color w:val="auto"/>
              </w:rPr>
            </w:pPr>
          </w:p>
        </w:tc>
        <w:tc>
          <w:tcPr>
            <w:tcW w:w="1360" w:type="dxa"/>
            <w:vAlign w:val="bottom"/>
          </w:tcPr>
          <w:p>
            <w:pPr>
              <w:jc w:val="right"/>
              <w:ind w:right="231"/>
              <w:spacing w:after="0"/>
              <w:rPr>
                <w:sz w:val="20"/>
                <w:szCs w:val="20"/>
                <w:color w:val="auto"/>
              </w:rPr>
            </w:pPr>
            <w:r>
              <w:rPr>
                <w:rFonts w:ascii="Arial" w:cs="Arial" w:eastAsia="Arial" w:hAnsi="Arial"/>
                <w:sz w:val="16"/>
                <w:szCs w:val="16"/>
                <w:color w:val="auto"/>
              </w:rPr>
              <w:t>Infrastructure</w:t>
            </w:r>
          </w:p>
        </w:tc>
      </w:tr>
      <w:tr>
        <w:trPr>
          <w:trHeight w:val="128"/>
        </w:trPr>
        <w:tc>
          <w:tcPr>
            <w:tcW w:w="432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34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32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360" w:type="dxa"/>
            <w:vAlign w:val="bottom"/>
            <w:tcBorders>
              <w:top w:val="single" w:sz="8" w:color="auto"/>
            </w:tcBorders>
          </w:tcPr>
          <w:p>
            <w:pPr>
              <w:spacing w:after="0"/>
              <w:rPr>
                <w:sz w:val="11"/>
                <w:szCs w:val="11"/>
                <w:color w:val="auto"/>
              </w:rPr>
            </w:pPr>
          </w:p>
        </w:tc>
      </w:tr>
      <w:tr>
        <w:trPr>
          <w:trHeight w:val="230"/>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866,813</w:t>
            </w:r>
          </w:p>
        </w:tc>
        <w:tc>
          <w:tcPr>
            <w:tcW w:w="3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640,538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156,697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69,578</w:t>
            </w:r>
          </w:p>
        </w:tc>
      </w:tr>
      <w:tr>
        <w:trPr>
          <w:trHeight w:val="270"/>
        </w:trPr>
        <w:tc>
          <w:tcPr>
            <w:tcW w:w="43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60" w:type="dxa"/>
            <w:vAlign w:val="bottom"/>
          </w:tcPr>
          <w:p>
            <w:pPr>
              <w:spacing w:after="0"/>
              <w:rPr>
                <w:sz w:val="23"/>
                <w:szCs w:val="23"/>
                <w:color w:val="auto"/>
              </w:rPr>
            </w:pPr>
          </w:p>
        </w:tc>
      </w:tr>
      <w:tr>
        <w:trPr>
          <w:trHeight w:val="229"/>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Net Income from Continuing Operations</w:t>
            </w: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85,758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29"/>
        </w:trPr>
        <w:tc>
          <w:tcPr>
            <w:tcW w:w="432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200" w:type="dxa"/>
            <w:vAlign w:val="bottom"/>
          </w:tcPr>
          <w:p>
            <w:pPr>
              <w:spacing w:after="0"/>
              <w:rPr>
                <w:sz w:val="19"/>
                <w:szCs w:val="19"/>
                <w:color w:val="auto"/>
              </w:rPr>
            </w:pPr>
          </w:p>
        </w:tc>
        <w:tc>
          <w:tcPr>
            <w:tcW w:w="1340" w:type="dxa"/>
            <w:vAlign w:val="bottom"/>
          </w:tcPr>
          <w:p>
            <w:pPr>
              <w:jc w:val="right"/>
              <w:ind w:right="150"/>
              <w:spacing w:after="0"/>
              <w:rPr>
                <w:sz w:val="20"/>
                <w:szCs w:val="20"/>
                <w:color w:val="auto"/>
              </w:rPr>
            </w:pPr>
            <w:r>
              <w:rPr>
                <w:rFonts w:ascii="Arial" w:cs="Arial" w:eastAsia="Arial" w:hAnsi="Arial"/>
                <w:sz w:val="18"/>
                <w:szCs w:val="18"/>
                <w:color w:val="auto"/>
              </w:rPr>
              <w:t>25,644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30"/>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(1,281)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29"/>
        </w:trPr>
        <w:tc>
          <w:tcPr>
            <w:tcW w:w="43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Income</w:t>
            </w: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(2,018)</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3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11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360" w:type="dxa"/>
            <w:vAlign w:val="bottom"/>
            <w:tcBorders>
              <w:bottom w:val="single" w:sz="8" w:color="CCEEFF"/>
            </w:tcBorders>
          </w:tcPr>
          <w:p>
            <w:pPr>
              <w:spacing w:after="0"/>
              <w:rPr>
                <w:sz w:val="19"/>
                <w:szCs w:val="19"/>
                <w:color w:val="auto"/>
              </w:rPr>
            </w:pPr>
          </w:p>
        </w:tc>
      </w:tr>
      <w:tr>
        <w:trPr>
          <w:trHeight w:val="223"/>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Operating Profit</w:t>
            </w: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108,103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115,303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6,069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17,078</w:t>
            </w:r>
          </w:p>
        </w:tc>
      </w:tr>
      <w:tr>
        <w:trPr>
          <w:trHeight w:val="229"/>
        </w:trPr>
        <w:tc>
          <w:tcPr>
            <w:tcW w:w="43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Adjusted Measures*</w:t>
            </w: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13,650</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3,987</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5,147</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171"/>
              <w:spacing w:after="0"/>
              <w:rPr>
                <w:sz w:val="20"/>
                <w:szCs w:val="20"/>
                <w:color w:val="auto"/>
              </w:rPr>
            </w:pPr>
            <w:r>
              <w:rPr>
                <w:rFonts w:ascii="Arial" w:cs="Arial" w:eastAsia="Arial" w:hAnsi="Arial"/>
                <w:sz w:val="18"/>
                <w:szCs w:val="18"/>
                <w:color w:val="auto"/>
              </w:rPr>
              <w:t>—</w:t>
            </w:r>
          </w:p>
        </w:tc>
      </w:tr>
      <w:tr>
        <w:trPr>
          <w:trHeight w:val="223"/>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Adjusted Operating Profit</w:t>
            </w: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121,753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119,290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11,216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17,078</w:t>
            </w:r>
          </w:p>
        </w:tc>
      </w:tr>
      <w:tr>
        <w:trPr>
          <w:trHeight w:val="229"/>
        </w:trPr>
        <w:tc>
          <w:tcPr>
            <w:tcW w:w="4320" w:type="dxa"/>
            <w:vAlign w:val="bottom"/>
          </w:tcPr>
          <w:p>
            <w:pPr>
              <w:spacing w:after="0"/>
              <w:rPr>
                <w:sz w:val="20"/>
                <w:szCs w:val="20"/>
                <w:color w:val="auto"/>
              </w:rPr>
            </w:pPr>
            <w:r>
              <w:rPr>
                <w:rFonts w:ascii="Arial" w:cs="Arial" w:eastAsia="Arial" w:hAnsi="Arial"/>
                <w:sz w:val="18"/>
                <w:szCs w:val="18"/>
                <w:color w:val="auto"/>
              </w:rPr>
              <w:t>Adjusted Operating Margin</w:t>
            </w: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14.0 %</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18.6 %</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7.2 %</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24.5 %</w:t>
            </w:r>
          </w:p>
        </w:tc>
      </w:tr>
      <w:tr>
        <w:trPr>
          <w:trHeight w:val="229"/>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Adjusted Other Expense</w:t>
            </w: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37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w:t>
            </w:r>
          </w:p>
        </w:tc>
      </w:tr>
      <w:tr>
        <w:trPr>
          <w:trHeight w:val="230"/>
        </w:trPr>
        <w:tc>
          <w:tcPr>
            <w:tcW w:w="4320" w:type="dxa"/>
            <w:vAlign w:val="bottom"/>
          </w:tcPr>
          <w:p>
            <w:pPr>
              <w:spacing w:after="0"/>
              <w:rPr>
                <w:sz w:val="20"/>
                <w:szCs w:val="20"/>
                <w:color w:val="auto"/>
              </w:rPr>
            </w:pPr>
            <w:r>
              <w:rPr>
                <w:rFonts w:ascii="Arial" w:cs="Arial" w:eastAsia="Arial" w:hAnsi="Arial"/>
                <w:sz w:val="18"/>
                <w:szCs w:val="18"/>
                <w:color w:val="auto"/>
              </w:rPr>
              <w:t>Depreciation &amp; Amortization</w:t>
            </w:r>
          </w:p>
        </w:tc>
        <w:tc>
          <w:tcPr>
            <w:tcW w:w="200" w:type="dxa"/>
            <w:vAlign w:val="bottom"/>
          </w:tcPr>
          <w:p>
            <w:pPr>
              <w:spacing w:after="0"/>
              <w:rPr>
                <w:sz w:val="19"/>
                <w:szCs w:val="19"/>
                <w:color w:val="auto"/>
              </w:rPr>
            </w:pPr>
          </w:p>
        </w:tc>
        <w:tc>
          <w:tcPr>
            <w:tcW w:w="1340" w:type="dxa"/>
            <w:vAlign w:val="bottom"/>
          </w:tcPr>
          <w:p>
            <w:pPr>
              <w:jc w:val="right"/>
              <w:ind w:right="150"/>
              <w:spacing w:after="0"/>
              <w:rPr>
                <w:sz w:val="20"/>
                <w:szCs w:val="20"/>
                <w:color w:val="auto"/>
              </w:rPr>
            </w:pPr>
            <w:r>
              <w:rPr>
                <w:rFonts w:ascii="Arial" w:cs="Arial" w:eastAsia="Arial" w:hAnsi="Arial"/>
                <w:sz w:val="18"/>
                <w:szCs w:val="18"/>
                <w:color w:val="auto"/>
              </w:rPr>
              <w:t>23,101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ind w:right="151"/>
              <w:spacing w:after="0"/>
              <w:rPr>
                <w:sz w:val="20"/>
                <w:szCs w:val="20"/>
                <w:color w:val="auto"/>
              </w:rPr>
            </w:pPr>
            <w:r>
              <w:rPr>
                <w:rFonts w:ascii="Arial" w:cs="Arial" w:eastAsia="Arial" w:hAnsi="Arial"/>
                <w:sz w:val="18"/>
                <w:szCs w:val="18"/>
                <w:color w:val="auto"/>
              </w:rPr>
              <w:t>9,863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ind w:right="151"/>
              <w:spacing w:after="0"/>
              <w:rPr>
                <w:sz w:val="20"/>
                <w:szCs w:val="20"/>
                <w:color w:val="auto"/>
              </w:rPr>
            </w:pPr>
            <w:r>
              <w:rPr>
                <w:rFonts w:ascii="Arial" w:cs="Arial" w:eastAsia="Arial" w:hAnsi="Arial"/>
                <w:sz w:val="18"/>
                <w:szCs w:val="18"/>
                <w:color w:val="auto"/>
              </w:rPr>
              <w:t>8,655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ind w:right="171"/>
              <w:spacing w:after="0"/>
              <w:rPr>
                <w:sz w:val="20"/>
                <w:szCs w:val="20"/>
                <w:color w:val="auto"/>
              </w:rPr>
            </w:pPr>
            <w:r>
              <w:rPr>
                <w:rFonts w:ascii="Arial" w:cs="Arial" w:eastAsia="Arial" w:hAnsi="Arial"/>
                <w:sz w:val="18"/>
                <w:szCs w:val="18"/>
                <w:color w:val="auto"/>
              </w:rPr>
              <w:t>2,126</w:t>
            </w:r>
          </w:p>
        </w:tc>
      </w:tr>
      <w:tr>
        <w:trPr>
          <w:trHeight w:val="229"/>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Less: Acquisition-related amortization</w:t>
            </w: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(3,500)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(3,500)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w:t>
            </w:r>
          </w:p>
        </w:tc>
      </w:tr>
      <w:tr>
        <w:trPr>
          <w:trHeight w:val="223"/>
        </w:trPr>
        <w:tc>
          <w:tcPr>
            <w:tcW w:w="4320" w:type="dxa"/>
            <w:vAlign w:val="bottom"/>
          </w:tcPr>
          <w:p>
            <w:pPr>
              <w:spacing w:after="0"/>
              <w:rPr>
                <w:sz w:val="20"/>
                <w:szCs w:val="20"/>
                <w:color w:val="auto"/>
              </w:rPr>
            </w:pPr>
            <w:r>
              <w:rPr>
                <w:rFonts w:ascii="Arial" w:cs="Arial" w:eastAsia="Arial" w:hAnsi="Arial"/>
                <w:sz w:val="18"/>
                <w:szCs w:val="18"/>
                <w:color w:val="auto"/>
              </w:rPr>
              <w:t>Adjusted Depreciation &amp; Amortization</w:t>
            </w:r>
          </w:p>
        </w:tc>
        <w:tc>
          <w:tcPr>
            <w:tcW w:w="20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19,601</w:t>
            </w:r>
          </w:p>
        </w:tc>
        <w:tc>
          <w:tcPr>
            <w:tcW w:w="1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jc w:val="right"/>
              <w:ind w:right="151"/>
              <w:spacing w:after="0"/>
              <w:rPr>
                <w:sz w:val="20"/>
                <w:szCs w:val="20"/>
                <w:color w:val="auto"/>
              </w:rPr>
            </w:pPr>
            <w:r>
              <w:rPr>
                <w:rFonts w:ascii="Arial" w:cs="Arial" w:eastAsia="Arial" w:hAnsi="Arial"/>
                <w:sz w:val="18"/>
                <w:szCs w:val="18"/>
                <w:color w:val="auto"/>
              </w:rPr>
              <w:t>9,863</w:t>
            </w:r>
          </w:p>
        </w:tc>
        <w:tc>
          <w:tcPr>
            <w:tcW w:w="12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ind w:right="151"/>
              <w:spacing w:after="0"/>
              <w:rPr>
                <w:sz w:val="20"/>
                <w:szCs w:val="20"/>
                <w:color w:val="auto"/>
              </w:rPr>
            </w:pPr>
            <w:r>
              <w:rPr>
                <w:rFonts w:ascii="Arial" w:cs="Arial" w:eastAsia="Arial" w:hAnsi="Arial"/>
                <w:sz w:val="18"/>
                <w:szCs w:val="18"/>
                <w:color w:val="auto"/>
              </w:rPr>
              <w:t>5,155</w:t>
            </w:r>
          </w:p>
        </w:tc>
        <w:tc>
          <w:tcPr>
            <w:tcW w:w="1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jc w:val="right"/>
              <w:ind w:right="171"/>
              <w:spacing w:after="0"/>
              <w:rPr>
                <w:sz w:val="20"/>
                <w:szCs w:val="20"/>
                <w:color w:val="auto"/>
              </w:rPr>
            </w:pPr>
            <w:r>
              <w:rPr>
                <w:rFonts w:ascii="Arial" w:cs="Arial" w:eastAsia="Arial" w:hAnsi="Arial"/>
                <w:sz w:val="18"/>
                <w:szCs w:val="18"/>
                <w:color w:val="auto"/>
              </w:rPr>
              <w:t>2,126</w:t>
            </w:r>
          </w:p>
        </w:tc>
      </w:tr>
      <w:tr>
        <w:trPr>
          <w:trHeight w:val="229"/>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Stock Compensation Expense</w:t>
            </w: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7,465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1,805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526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207</w:t>
            </w:r>
          </w:p>
        </w:tc>
      </w:tr>
      <w:tr>
        <w:trPr>
          <w:trHeight w:val="230"/>
        </w:trPr>
        <w:tc>
          <w:tcPr>
            <w:tcW w:w="4320" w:type="dxa"/>
            <w:vAlign w:val="bottom"/>
          </w:tcPr>
          <w:p>
            <w:pPr>
              <w:spacing w:after="0"/>
              <w:rPr>
                <w:sz w:val="20"/>
                <w:szCs w:val="20"/>
                <w:color w:val="auto"/>
              </w:rPr>
            </w:pPr>
            <w:r>
              <w:rPr>
                <w:rFonts w:ascii="Arial" w:cs="Arial" w:eastAsia="Arial" w:hAnsi="Arial"/>
                <w:sz w:val="18"/>
                <w:szCs w:val="18"/>
                <w:color w:val="auto"/>
              </w:rPr>
              <w:t>Less: SLT Related Stock Compensation Expense</w:t>
            </w:r>
          </w:p>
        </w:tc>
        <w:tc>
          <w:tcPr>
            <w:tcW w:w="200" w:type="dxa"/>
            <w:vAlign w:val="bottom"/>
          </w:tcPr>
          <w:p>
            <w:pPr>
              <w:spacing w:after="0"/>
              <w:rPr>
                <w:sz w:val="19"/>
                <w:szCs w:val="19"/>
                <w:color w:val="auto"/>
              </w:rPr>
            </w:pPr>
          </w:p>
        </w:tc>
        <w:tc>
          <w:tcPr>
            <w:tcW w:w="1340" w:type="dxa"/>
            <w:vAlign w:val="bottom"/>
          </w:tcPr>
          <w:p>
            <w:pPr>
              <w:jc w:val="right"/>
              <w:ind w:right="110"/>
              <w:spacing w:after="0"/>
              <w:rPr>
                <w:sz w:val="20"/>
                <w:szCs w:val="20"/>
                <w:color w:val="auto"/>
              </w:rPr>
            </w:pPr>
            <w:r>
              <w:rPr>
                <w:rFonts w:ascii="Arial" w:cs="Arial" w:eastAsia="Arial" w:hAnsi="Arial"/>
                <w:sz w:val="18"/>
                <w:szCs w:val="18"/>
                <w:color w:val="auto"/>
              </w:rPr>
              <w:t>(82)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3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360" w:type="dxa"/>
            <w:vAlign w:val="bottom"/>
          </w:tcPr>
          <w:p>
            <w:pPr>
              <w:jc w:val="right"/>
              <w:ind w:right="171"/>
              <w:spacing w:after="0"/>
              <w:rPr>
                <w:sz w:val="20"/>
                <w:szCs w:val="20"/>
                <w:color w:val="auto"/>
              </w:rPr>
            </w:pPr>
            <w:r>
              <w:rPr>
                <w:rFonts w:ascii="Arial" w:cs="Arial" w:eastAsia="Arial" w:hAnsi="Arial"/>
                <w:sz w:val="18"/>
                <w:szCs w:val="18"/>
                <w:color w:val="auto"/>
              </w:rPr>
              <w:t>—</w:t>
            </w:r>
          </w:p>
        </w:tc>
      </w:tr>
      <w:tr>
        <w:trPr>
          <w:trHeight w:val="223"/>
        </w:trPr>
        <w:tc>
          <w:tcPr>
            <w:tcW w:w="4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Adjusted Stock Compensation Expense</w:t>
            </w: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1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7,383</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1320" w:type="dxa"/>
            <w:vAlign w:val="bottom"/>
            <w:tcBorders>
              <w:top w:val="single" w:sz="8" w:color="auto"/>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1,805</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1180" w:type="dxa"/>
            <w:vAlign w:val="bottom"/>
            <w:tcBorders>
              <w:top w:val="single" w:sz="8" w:color="auto"/>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526</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1360" w:type="dxa"/>
            <w:vAlign w:val="bottom"/>
            <w:tcBorders>
              <w:top w:val="single" w:sz="8" w:color="auto"/>
              <w:bottom w:val="single" w:sz="8" w:color="auto"/>
            </w:tcBorders>
            <w:shd w:val="clear" w:color="auto" w:fill="CCEEFF"/>
          </w:tcPr>
          <w:p>
            <w:pPr>
              <w:jc w:val="right"/>
              <w:ind w:right="171"/>
              <w:spacing w:after="0"/>
              <w:rPr>
                <w:sz w:val="20"/>
                <w:szCs w:val="20"/>
                <w:color w:val="auto"/>
              </w:rPr>
            </w:pPr>
            <w:r>
              <w:rPr>
                <w:rFonts w:ascii="Arial" w:cs="Arial" w:eastAsia="Arial" w:hAnsi="Arial"/>
                <w:sz w:val="18"/>
                <w:szCs w:val="18"/>
                <w:color w:val="auto"/>
              </w:rPr>
              <w:t>207</w:t>
            </w:r>
          </w:p>
        </w:tc>
      </w:tr>
      <w:tr>
        <w:trPr>
          <w:trHeight w:val="223"/>
        </w:trPr>
        <w:tc>
          <w:tcPr>
            <w:tcW w:w="4320" w:type="dxa"/>
            <w:vAlign w:val="bottom"/>
          </w:tcPr>
          <w:p>
            <w:pPr>
              <w:spacing w:after="0"/>
              <w:rPr>
                <w:sz w:val="20"/>
                <w:szCs w:val="20"/>
                <w:color w:val="auto"/>
              </w:rPr>
            </w:pPr>
            <w:r>
              <w:rPr>
                <w:rFonts w:ascii="Arial" w:cs="Arial" w:eastAsia="Arial" w:hAnsi="Arial"/>
                <w:sz w:val="18"/>
                <w:szCs w:val="18"/>
                <w:color w:val="auto"/>
              </w:rPr>
              <w:t>Adjusted EBITDA</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148,700</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130,958</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16,897</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ind w:right="171"/>
              <w:spacing w:after="0"/>
              <w:rPr>
                <w:sz w:val="20"/>
                <w:szCs w:val="20"/>
                <w:color w:val="auto"/>
              </w:rPr>
            </w:pPr>
            <w:r>
              <w:rPr>
                <w:rFonts w:ascii="Arial" w:cs="Arial" w:eastAsia="Arial" w:hAnsi="Arial"/>
                <w:sz w:val="18"/>
                <w:szCs w:val="18"/>
                <w:color w:val="auto"/>
              </w:rPr>
              <w:t>19,411</w:t>
            </w:r>
          </w:p>
        </w:tc>
      </w:tr>
      <w:tr>
        <w:trPr>
          <w:trHeight w:val="20"/>
        </w:trPr>
        <w:tc>
          <w:tcPr>
            <w:tcW w:w="43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237"/>
        </w:trPr>
        <w:tc>
          <w:tcPr>
            <w:tcW w:w="43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r>
      <w:tr>
        <w:trPr>
          <w:trHeight w:val="230"/>
        </w:trPr>
        <w:tc>
          <w:tcPr>
            <w:tcW w:w="4320" w:type="dxa"/>
            <w:vAlign w:val="bottom"/>
          </w:tcPr>
          <w:p>
            <w:pPr>
              <w:spacing w:after="0"/>
              <w:rPr>
                <w:sz w:val="20"/>
                <w:szCs w:val="20"/>
                <w:color w:val="auto"/>
              </w:rPr>
            </w:pPr>
            <w:r>
              <w:rPr>
                <w:rFonts w:ascii="Arial" w:cs="Arial" w:eastAsia="Arial" w:hAnsi="Arial"/>
                <w:sz w:val="18"/>
                <w:szCs w:val="18"/>
                <w:color w:val="auto"/>
              </w:rPr>
              <w:t>Adjusted EBITDA Margin</w:t>
            </w: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17.2 %</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20.4 %</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10.8 %</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27.9 %</w:t>
            </w:r>
          </w:p>
        </w:tc>
      </w:tr>
      <w:tr>
        <w:trPr>
          <w:trHeight w:val="270"/>
        </w:trPr>
        <w:tc>
          <w:tcPr>
            <w:tcW w:w="43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r>
      <w:tr>
        <w:trPr>
          <w:trHeight w:val="229"/>
        </w:trPr>
        <w:tc>
          <w:tcPr>
            <w:tcW w:w="4320" w:type="dxa"/>
            <w:vAlign w:val="bottom"/>
          </w:tcPr>
          <w:p>
            <w:pPr>
              <w:spacing w:after="0"/>
              <w:rPr>
                <w:sz w:val="20"/>
                <w:szCs w:val="20"/>
                <w:color w:val="auto"/>
              </w:rPr>
            </w:pPr>
            <w:r>
              <w:rPr>
                <w:rFonts w:ascii="Arial" w:cs="Arial" w:eastAsia="Arial" w:hAnsi="Arial"/>
                <w:sz w:val="18"/>
                <w:szCs w:val="18"/>
                <w:color w:val="auto"/>
              </w:rPr>
              <w:t>Cash Flow - Operating Activities</w:t>
            </w:r>
          </w:p>
        </w:tc>
        <w:tc>
          <w:tcPr>
            <w:tcW w:w="200" w:type="dxa"/>
            <w:vAlign w:val="bottom"/>
          </w:tcPr>
          <w:p>
            <w:pPr>
              <w:spacing w:after="0"/>
              <w:rPr>
                <w:sz w:val="19"/>
                <w:szCs w:val="19"/>
                <w:color w:val="auto"/>
              </w:rPr>
            </w:pPr>
          </w:p>
        </w:tc>
        <w:tc>
          <w:tcPr>
            <w:tcW w:w="1340" w:type="dxa"/>
            <w:vAlign w:val="bottom"/>
          </w:tcPr>
          <w:p>
            <w:pPr>
              <w:jc w:val="right"/>
              <w:ind w:right="150"/>
              <w:spacing w:after="0"/>
              <w:rPr>
                <w:sz w:val="20"/>
                <w:szCs w:val="20"/>
                <w:color w:val="auto"/>
              </w:rPr>
            </w:pPr>
            <w:r>
              <w:rPr>
                <w:rFonts w:ascii="Arial" w:cs="Arial" w:eastAsia="Arial" w:hAnsi="Arial"/>
                <w:sz w:val="18"/>
                <w:szCs w:val="18"/>
                <w:color w:val="auto"/>
              </w:rPr>
              <w:t>105,380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30"/>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Purchase of PPE, Net</w:t>
            </w:r>
          </w:p>
        </w:tc>
        <w:tc>
          <w:tcPr>
            <w:tcW w:w="2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(37,176)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23"/>
        </w:trPr>
        <w:tc>
          <w:tcPr>
            <w:tcW w:w="4320" w:type="dxa"/>
            <w:vAlign w:val="bottom"/>
          </w:tcPr>
          <w:p>
            <w:pPr>
              <w:spacing w:after="0"/>
              <w:rPr>
                <w:sz w:val="20"/>
                <w:szCs w:val="20"/>
                <w:color w:val="auto"/>
              </w:rPr>
            </w:pPr>
            <w:r>
              <w:rPr>
                <w:rFonts w:ascii="Arial" w:cs="Arial" w:eastAsia="Arial" w:hAnsi="Arial"/>
                <w:sz w:val="18"/>
                <w:szCs w:val="18"/>
                <w:color w:val="auto"/>
              </w:rPr>
              <w:t>Free Cash Flow</w:t>
            </w:r>
          </w:p>
        </w:tc>
        <w:tc>
          <w:tcPr>
            <w:tcW w:w="200" w:type="dxa"/>
            <w:vAlign w:val="bottom"/>
          </w:tcPr>
          <w:p>
            <w:pPr>
              <w:spacing w:after="0"/>
              <w:rPr>
                <w:sz w:val="19"/>
                <w:szCs w:val="19"/>
                <w:color w:val="auto"/>
              </w:rPr>
            </w:pPr>
          </w:p>
        </w:tc>
        <w:tc>
          <w:tcPr>
            <w:tcW w:w="1340" w:type="dxa"/>
            <w:vAlign w:val="bottom"/>
          </w:tcPr>
          <w:p>
            <w:pPr>
              <w:jc w:val="right"/>
              <w:ind w:right="150"/>
              <w:spacing w:after="0"/>
              <w:rPr>
                <w:sz w:val="20"/>
                <w:szCs w:val="20"/>
                <w:color w:val="auto"/>
              </w:rPr>
            </w:pPr>
            <w:r>
              <w:rPr>
                <w:rFonts w:ascii="Arial" w:cs="Arial" w:eastAsia="Arial" w:hAnsi="Arial"/>
                <w:sz w:val="18"/>
                <w:szCs w:val="18"/>
                <w:color w:val="auto"/>
              </w:rPr>
              <w:t>68,204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30"/>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Free Cash Flow - % of Net Sales</w:t>
            </w: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7.9 %</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171450</wp:posOffset>
            </wp:positionV>
            <wp:extent cx="6883400" cy="1289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83400" cy="128905"/>
                    </a:xfrm>
                    <a:prstGeom prst="rect">
                      <a:avLst/>
                    </a:prstGeom>
                    <a:noFill/>
                  </pic:spPr>
                </pic:pic>
              </a:graphicData>
            </a:graphic>
          </wp:anchor>
        </w:drawing>
      </w:r>
    </w:p>
    <w:p>
      <w:pPr>
        <w:spacing w:after="0" w:line="254" w:lineRule="exact"/>
        <w:rPr>
          <w:sz w:val="20"/>
          <w:szCs w:val="20"/>
          <w:color w:val="auto"/>
        </w:rPr>
      </w:pPr>
    </w:p>
    <w:p>
      <w:pPr>
        <w:spacing w:after="0"/>
        <w:rPr>
          <w:sz w:val="20"/>
          <w:szCs w:val="20"/>
          <w:color w:val="auto"/>
        </w:rPr>
      </w:pPr>
      <w:r>
        <w:rPr>
          <w:rFonts w:ascii="Arial" w:cs="Arial" w:eastAsia="Arial" w:hAnsi="Arial"/>
          <w:sz w:val="14"/>
          <w:szCs w:val="14"/>
          <w:color w:val="auto"/>
        </w:rPr>
        <w:t>*Adjusted Measures details are presented on the corresponding Reconciliation of GAAP and Adjusted Financial Measures</w:t>
      </w:r>
    </w:p>
    <w:p>
      <w:pPr>
        <w:sectPr>
          <w:pgSz w:w="11900" w:h="16838" w:orient="portrait"/>
          <w:cols w:equalWidth="0" w:num="1">
            <w:col w:w="10840"/>
          </w:cols>
          <w:pgMar w:left="540" w:top="1417" w:right="519" w:bottom="1440" w:gutter="0" w:footer="0" w:header="0"/>
        </w:sectPr>
      </w:pPr>
    </w:p>
    <w:bookmarkStart w:id="21" w:name="page22"/>
    <w:bookmarkEnd w:id="21"/>
    <w:p>
      <w:pPr>
        <w:jc w:val="center"/>
        <w:ind w:right="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5205730</wp:posOffset>
            </wp:positionH>
            <wp:positionV relativeFrom="page">
              <wp:posOffset>243205</wp:posOffset>
            </wp:positionV>
            <wp:extent cx="2134235" cy="2743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clrChange>
                        <a:clrFrom>
                          <a:srgbClr val="FFFFFF"/>
                        </a:clrFrom>
                        <a:clrTo>
                          <a:srgbClr val="FFFFFF">
                            <a:alpha val="0"/>
                          </a:srgbClr>
                        </a:clrTo>
                      </a:clrChange>
                      <a:extLst>
                        <a:ext uri="{28A0092B-C50C-407E-A947-70E740481C1C}"/>
                      </a:extLst>
                    </a:blip>
                    <a:srcRect/>
                    <a:stretch>
                      <a:fillRect/>
                    </a:stretch>
                  </pic:blipFill>
                  <pic:spPr bwMode="auto">
                    <a:xfrm>
                      <a:off x="0" y="0"/>
                      <a:ext cx="2134235" cy="274320"/>
                    </a:xfrm>
                    <a:prstGeom prst="rect">
                      <a:avLst/>
                    </a:prstGeom>
                    <a:noFill/>
                  </pic:spPr>
                </pic:pic>
              </a:graphicData>
            </a:graphic>
          </wp:anchor>
        </w:drawing>
        <w:t>GIBRALTAR INDUSTRIES,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Reconciliation of Adjusted Financial Measures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(unaudited)</w:t>
      </w:r>
    </w:p>
    <w:p>
      <w:pPr>
        <w:spacing w:after="0" w:line="27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Year Ended December 31, 2025</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00" w:type="dxa"/>
            <w:vAlign w:val="bottom"/>
          </w:tcPr>
          <w:p>
            <w:pPr>
              <w:jc w:val="right"/>
              <w:ind w:right="310"/>
              <w:spacing w:after="0"/>
              <w:rPr>
                <w:sz w:val="20"/>
                <w:szCs w:val="20"/>
                <w:color w:val="auto"/>
              </w:rPr>
            </w:pPr>
            <w:r>
              <w:rPr>
                <w:rFonts w:ascii="Arial" w:cs="Arial" w:eastAsia="Arial" w:hAnsi="Arial"/>
                <w:sz w:val="16"/>
                <w:szCs w:val="16"/>
                <w:color w:val="auto"/>
              </w:rPr>
              <w:t>Consolidated</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ind w:left="120"/>
              <w:spacing w:after="0"/>
              <w:rPr>
                <w:sz w:val="20"/>
                <w:szCs w:val="20"/>
                <w:color w:val="auto"/>
              </w:rPr>
            </w:pPr>
            <w:r>
              <w:rPr>
                <w:rFonts w:ascii="Arial" w:cs="Arial" w:eastAsia="Arial" w:hAnsi="Arial"/>
                <w:sz w:val="16"/>
                <w:szCs w:val="16"/>
                <w:color w:val="auto"/>
              </w:rPr>
              <w:t>Residential</w:t>
            </w:r>
          </w:p>
        </w:tc>
        <w:tc>
          <w:tcPr>
            <w:tcW w:w="300" w:type="dxa"/>
            <w:vAlign w:val="bottom"/>
          </w:tcPr>
          <w:p>
            <w:pPr>
              <w:spacing w:after="0"/>
              <w:rPr>
                <w:sz w:val="18"/>
                <w:szCs w:val="18"/>
                <w:color w:val="auto"/>
              </w:rPr>
            </w:pPr>
          </w:p>
        </w:tc>
        <w:tc>
          <w:tcPr>
            <w:tcW w:w="1340" w:type="dxa"/>
            <w:vAlign w:val="bottom"/>
            <w:gridSpan w:val="2"/>
          </w:tcPr>
          <w:p>
            <w:pPr>
              <w:ind w:left="200"/>
              <w:spacing w:after="0"/>
              <w:rPr>
                <w:sz w:val="20"/>
                <w:szCs w:val="20"/>
                <w:color w:val="auto"/>
              </w:rPr>
            </w:pPr>
            <w:r>
              <w:rPr>
                <w:rFonts w:ascii="Arial" w:cs="Arial" w:eastAsia="Arial" w:hAnsi="Arial"/>
                <w:sz w:val="16"/>
                <w:szCs w:val="16"/>
                <w:color w:val="auto"/>
              </w:rPr>
              <w:t>Agtech</w:t>
            </w:r>
          </w:p>
        </w:tc>
        <w:tc>
          <w:tcPr>
            <w:tcW w:w="200" w:type="dxa"/>
            <w:vAlign w:val="bottom"/>
          </w:tcPr>
          <w:p>
            <w:pPr>
              <w:spacing w:after="0"/>
              <w:rPr>
                <w:sz w:val="18"/>
                <w:szCs w:val="18"/>
                <w:color w:val="auto"/>
              </w:rPr>
            </w:pPr>
          </w:p>
        </w:tc>
        <w:tc>
          <w:tcPr>
            <w:tcW w:w="1360" w:type="dxa"/>
            <w:vAlign w:val="bottom"/>
          </w:tcPr>
          <w:p>
            <w:pPr>
              <w:jc w:val="right"/>
              <w:ind w:right="211"/>
              <w:spacing w:after="0"/>
              <w:rPr>
                <w:sz w:val="20"/>
                <w:szCs w:val="20"/>
                <w:color w:val="auto"/>
              </w:rPr>
            </w:pPr>
            <w:r>
              <w:rPr>
                <w:rFonts w:ascii="Arial" w:cs="Arial" w:eastAsia="Arial" w:hAnsi="Arial"/>
                <w:sz w:val="16"/>
                <w:szCs w:val="16"/>
                <w:color w:val="auto"/>
              </w:rPr>
              <w:t>Infrastructure</w:t>
            </w:r>
          </w:p>
        </w:tc>
      </w:tr>
      <w:tr>
        <w:trPr>
          <w:trHeight w:val="128"/>
        </w:trPr>
        <w:tc>
          <w:tcPr>
            <w:tcW w:w="436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50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30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360" w:type="dxa"/>
            <w:vAlign w:val="bottom"/>
            <w:tcBorders>
              <w:top w:val="single" w:sz="8" w:color="auto"/>
            </w:tcBorders>
          </w:tcPr>
          <w:p>
            <w:pPr>
              <w:spacing w:after="0"/>
              <w:rPr>
                <w:sz w:val="11"/>
                <w:szCs w:val="11"/>
                <w:color w:val="auto"/>
              </w:rPr>
            </w:pPr>
          </w:p>
        </w:tc>
      </w:tr>
      <w:tr>
        <w:trPr>
          <w:trHeight w:val="230"/>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1,135,501</w:t>
            </w:r>
          </w:p>
        </w:tc>
        <w:tc>
          <w:tcPr>
            <w:tcW w:w="3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824,079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219,301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92,121</w:t>
            </w:r>
          </w:p>
        </w:tc>
      </w:tr>
      <w:tr>
        <w:trPr>
          <w:trHeight w:val="270"/>
        </w:trPr>
        <w:tc>
          <w:tcPr>
            <w:tcW w:w="43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60" w:type="dxa"/>
            <w:vAlign w:val="bottom"/>
          </w:tcPr>
          <w:p>
            <w:pPr>
              <w:spacing w:after="0"/>
              <w:rPr>
                <w:sz w:val="23"/>
                <w:szCs w:val="23"/>
                <w:color w:val="auto"/>
              </w:rPr>
            </w:pPr>
          </w:p>
        </w:tc>
      </w:tr>
      <w:tr>
        <w:trPr>
          <w:trHeight w:val="229"/>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Net Income from Continuing Operations</w:t>
            </w: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97,556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29"/>
        </w:trPr>
        <w:tc>
          <w:tcPr>
            <w:tcW w:w="436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260" w:type="dxa"/>
            <w:vAlign w:val="bottom"/>
          </w:tcPr>
          <w:p>
            <w:pPr>
              <w:spacing w:after="0"/>
              <w:rPr>
                <w:sz w:val="19"/>
                <w:szCs w:val="19"/>
                <w:color w:val="auto"/>
              </w:rPr>
            </w:pPr>
          </w:p>
        </w:tc>
        <w:tc>
          <w:tcPr>
            <w:tcW w:w="1500" w:type="dxa"/>
            <w:vAlign w:val="bottom"/>
          </w:tcPr>
          <w:p>
            <w:pPr>
              <w:jc w:val="right"/>
              <w:ind w:right="150"/>
              <w:spacing w:after="0"/>
              <w:rPr>
                <w:sz w:val="20"/>
                <w:szCs w:val="20"/>
                <w:color w:val="auto"/>
              </w:rPr>
            </w:pPr>
            <w:r>
              <w:rPr>
                <w:rFonts w:ascii="Arial" w:cs="Arial" w:eastAsia="Arial" w:hAnsi="Arial"/>
                <w:sz w:val="18"/>
                <w:szCs w:val="18"/>
                <w:color w:val="auto"/>
              </w:rPr>
              <w:t>29,020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30"/>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(1,747)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29"/>
        </w:trPr>
        <w:tc>
          <w:tcPr>
            <w:tcW w:w="43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Income</w:t>
            </w:r>
          </w:p>
        </w:tc>
        <w:tc>
          <w:tcPr>
            <w:tcW w:w="2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(2,078)</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3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12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360" w:type="dxa"/>
            <w:vAlign w:val="bottom"/>
            <w:tcBorders>
              <w:bottom w:val="single" w:sz="8" w:color="CCEEFF"/>
            </w:tcBorders>
          </w:tcPr>
          <w:p>
            <w:pPr>
              <w:spacing w:after="0"/>
              <w:rPr>
                <w:sz w:val="19"/>
                <w:szCs w:val="19"/>
                <w:color w:val="auto"/>
              </w:rPr>
            </w:pPr>
          </w:p>
        </w:tc>
      </w:tr>
      <w:tr>
        <w:trPr>
          <w:trHeight w:val="223"/>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Operating Profit</w:t>
            </w: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122,751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137,195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9,804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22,042</w:t>
            </w:r>
          </w:p>
        </w:tc>
      </w:tr>
      <w:tr>
        <w:trPr>
          <w:trHeight w:val="229"/>
        </w:trPr>
        <w:tc>
          <w:tcPr>
            <w:tcW w:w="43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Adjusted Measures*</w:t>
            </w:r>
          </w:p>
        </w:tc>
        <w:tc>
          <w:tcPr>
            <w:tcW w:w="2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28,088</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171"/>
              <w:spacing w:after="0"/>
              <w:rPr>
                <w:sz w:val="20"/>
                <w:szCs w:val="20"/>
                <w:color w:val="auto"/>
              </w:rPr>
            </w:pPr>
            <w:r>
              <w:rPr>
                <w:rFonts w:ascii="Arial" w:cs="Arial" w:eastAsia="Arial" w:hAnsi="Arial"/>
                <w:sz w:val="18"/>
                <w:szCs w:val="18"/>
                <w:color w:val="auto"/>
              </w:rPr>
              <w:t>7,703</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5,833</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w:t>
            </w:r>
          </w:p>
        </w:tc>
      </w:tr>
      <w:tr>
        <w:trPr>
          <w:trHeight w:val="223"/>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Adjusted Operating Profit</w:t>
            </w: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150,839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144,898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15,637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22,042</w:t>
            </w:r>
          </w:p>
        </w:tc>
      </w:tr>
      <w:tr>
        <w:trPr>
          <w:trHeight w:val="229"/>
        </w:trPr>
        <w:tc>
          <w:tcPr>
            <w:tcW w:w="4360" w:type="dxa"/>
            <w:vAlign w:val="bottom"/>
          </w:tcPr>
          <w:p>
            <w:pPr>
              <w:spacing w:after="0"/>
              <w:rPr>
                <w:sz w:val="20"/>
                <w:szCs w:val="20"/>
                <w:color w:val="auto"/>
              </w:rPr>
            </w:pPr>
            <w:r>
              <w:rPr>
                <w:rFonts w:ascii="Arial" w:cs="Arial" w:eastAsia="Arial" w:hAnsi="Arial"/>
                <w:sz w:val="18"/>
                <w:szCs w:val="18"/>
                <w:color w:val="auto"/>
              </w:rPr>
              <w:t>Adjusted Operating Margin</w:t>
            </w: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13.3 %</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17.6 %</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7.1 %</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23.9 %</w:t>
            </w:r>
          </w:p>
        </w:tc>
      </w:tr>
      <w:tr>
        <w:trPr>
          <w:trHeight w:val="229"/>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Adjusted Other Expense</w:t>
            </w: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148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r>
      <w:tr>
        <w:trPr>
          <w:trHeight w:val="230"/>
        </w:trPr>
        <w:tc>
          <w:tcPr>
            <w:tcW w:w="4360" w:type="dxa"/>
            <w:vAlign w:val="bottom"/>
          </w:tcPr>
          <w:p>
            <w:pPr>
              <w:spacing w:after="0"/>
              <w:rPr>
                <w:sz w:val="20"/>
                <w:szCs w:val="20"/>
                <w:color w:val="auto"/>
              </w:rPr>
            </w:pPr>
            <w:r>
              <w:rPr>
                <w:rFonts w:ascii="Arial" w:cs="Arial" w:eastAsia="Arial" w:hAnsi="Arial"/>
                <w:sz w:val="18"/>
                <w:szCs w:val="18"/>
                <w:color w:val="auto"/>
              </w:rPr>
              <w:t>Depreciation &amp; Amortization</w:t>
            </w:r>
          </w:p>
        </w:tc>
        <w:tc>
          <w:tcPr>
            <w:tcW w:w="260" w:type="dxa"/>
            <w:vAlign w:val="bottom"/>
          </w:tcPr>
          <w:p>
            <w:pPr>
              <w:spacing w:after="0"/>
              <w:rPr>
                <w:sz w:val="19"/>
                <w:szCs w:val="19"/>
                <w:color w:val="auto"/>
              </w:rPr>
            </w:pPr>
          </w:p>
        </w:tc>
        <w:tc>
          <w:tcPr>
            <w:tcW w:w="1500" w:type="dxa"/>
            <w:vAlign w:val="bottom"/>
          </w:tcPr>
          <w:p>
            <w:pPr>
              <w:jc w:val="right"/>
              <w:ind w:right="150"/>
              <w:spacing w:after="0"/>
              <w:rPr>
                <w:sz w:val="20"/>
                <w:szCs w:val="20"/>
                <w:color w:val="auto"/>
              </w:rPr>
            </w:pPr>
            <w:r>
              <w:rPr>
                <w:rFonts w:ascii="Arial" w:cs="Arial" w:eastAsia="Arial" w:hAnsi="Arial"/>
                <w:sz w:val="18"/>
                <w:szCs w:val="18"/>
                <w:color w:val="auto"/>
              </w:rPr>
              <w:t>29,849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jc w:val="right"/>
              <w:ind w:right="171"/>
              <w:spacing w:after="0"/>
              <w:rPr>
                <w:sz w:val="20"/>
                <w:szCs w:val="20"/>
                <w:color w:val="auto"/>
              </w:rPr>
            </w:pPr>
            <w:r>
              <w:rPr>
                <w:rFonts w:ascii="Arial" w:cs="Arial" w:eastAsia="Arial" w:hAnsi="Arial"/>
                <w:sz w:val="18"/>
                <w:szCs w:val="18"/>
                <w:color w:val="auto"/>
              </w:rPr>
              <w:t>13,351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tcPr>
          <w:p>
            <w:pPr>
              <w:jc w:val="right"/>
              <w:ind w:right="151"/>
              <w:spacing w:after="0"/>
              <w:rPr>
                <w:sz w:val="20"/>
                <w:szCs w:val="20"/>
                <w:color w:val="auto"/>
              </w:rPr>
            </w:pPr>
            <w:r>
              <w:rPr>
                <w:rFonts w:ascii="Arial" w:cs="Arial" w:eastAsia="Arial" w:hAnsi="Arial"/>
                <w:sz w:val="18"/>
                <w:szCs w:val="18"/>
                <w:color w:val="auto"/>
              </w:rPr>
              <w:t>10,368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ind w:right="151"/>
              <w:spacing w:after="0"/>
              <w:rPr>
                <w:sz w:val="20"/>
                <w:szCs w:val="20"/>
                <w:color w:val="auto"/>
              </w:rPr>
            </w:pPr>
            <w:r>
              <w:rPr>
                <w:rFonts w:ascii="Arial" w:cs="Arial" w:eastAsia="Arial" w:hAnsi="Arial"/>
                <w:sz w:val="18"/>
                <w:szCs w:val="18"/>
                <w:color w:val="auto"/>
              </w:rPr>
              <w:t>2,845</w:t>
            </w:r>
          </w:p>
        </w:tc>
      </w:tr>
      <w:tr>
        <w:trPr>
          <w:trHeight w:val="229"/>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Less: Acquisition-related amortization</w:t>
            </w: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(3,500)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(3,500)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r>
      <w:tr>
        <w:trPr>
          <w:trHeight w:val="223"/>
        </w:trPr>
        <w:tc>
          <w:tcPr>
            <w:tcW w:w="4360" w:type="dxa"/>
            <w:vAlign w:val="bottom"/>
          </w:tcPr>
          <w:p>
            <w:pPr>
              <w:spacing w:after="0"/>
              <w:rPr>
                <w:sz w:val="20"/>
                <w:szCs w:val="20"/>
                <w:color w:val="auto"/>
              </w:rPr>
            </w:pPr>
            <w:r>
              <w:rPr>
                <w:rFonts w:ascii="Arial" w:cs="Arial" w:eastAsia="Arial" w:hAnsi="Arial"/>
                <w:sz w:val="18"/>
                <w:szCs w:val="18"/>
                <w:color w:val="auto"/>
              </w:rPr>
              <w:t>Adjusted Depreciation &amp; Amortization</w:t>
            </w:r>
          </w:p>
        </w:tc>
        <w:tc>
          <w:tcPr>
            <w:tcW w:w="260" w:type="dxa"/>
            <w:vAlign w:val="bottom"/>
            <w:tcBorders>
              <w:top w:val="single" w:sz="8" w:color="auto"/>
            </w:tcBorders>
          </w:tcPr>
          <w:p>
            <w:pPr>
              <w:spacing w:after="0"/>
              <w:rPr>
                <w:sz w:val="19"/>
                <w:szCs w:val="19"/>
                <w:color w:val="auto"/>
              </w:rPr>
            </w:pPr>
          </w:p>
        </w:tc>
        <w:tc>
          <w:tcPr>
            <w:tcW w:w="150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26,349</w:t>
            </w:r>
          </w:p>
        </w:tc>
        <w:tc>
          <w:tcPr>
            <w:tcW w:w="1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jc w:val="right"/>
              <w:ind w:right="171"/>
              <w:spacing w:after="0"/>
              <w:rPr>
                <w:sz w:val="20"/>
                <w:szCs w:val="20"/>
                <w:color w:val="auto"/>
              </w:rPr>
            </w:pPr>
            <w:r>
              <w:rPr>
                <w:rFonts w:ascii="Arial" w:cs="Arial" w:eastAsia="Arial" w:hAnsi="Arial"/>
                <w:sz w:val="18"/>
                <w:szCs w:val="18"/>
                <w:color w:val="auto"/>
              </w:rPr>
              <w:t>13,351</w:t>
            </w:r>
          </w:p>
        </w:tc>
        <w:tc>
          <w:tcPr>
            <w:tcW w:w="12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ind w:right="151"/>
              <w:spacing w:after="0"/>
              <w:rPr>
                <w:sz w:val="20"/>
                <w:szCs w:val="20"/>
                <w:color w:val="auto"/>
              </w:rPr>
            </w:pPr>
            <w:r>
              <w:rPr>
                <w:rFonts w:ascii="Arial" w:cs="Arial" w:eastAsia="Arial" w:hAnsi="Arial"/>
                <w:sz w:val="18"/>
                <w:szCs w:val="18"/>
                <w:color w:val="auto"/>
              </w:rPr>
              <w:t>6,868</w:t>
            </w:r>
          </w:p>
        </w:tc>
        <w:tc>
          <w:tcPr>
            <w:tcW w:w="1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jc w:val="right"/>
              <w:ind w:right="151"/>
              <w:spacing w:after="0"/>
              <w:rPr>
                <w:sz w:val="20"/>
                <w:szCs w:val="20"/>
                <w:color w:val="auto"/>
              </w:rPr>
            </w:pPr>
            <w:r>
              <w:rPr>
                <w:rFonts w:ascii="Arial" w:cs="Arial" w:eastAsia="Arial" w:hAnsi="Arial"/>
                <w:sz w:val="18"/>
                <w:szCs w:val="18"/>
                <w:color w:val="auto"/>
              </w:rPr>
              <w:t>2,845</w:t>
            </w:r>
          </w:p>
        </w:tc>
      </w:tr>
      <w:tr>
        <w:trPr>
          <w:trHeight w:val="229"/>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Stock Compensation Expense</w:t>
            </w: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8,339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2,591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729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274</w:t>
            </w:r>
          </w:p>
        </w:tc>
      </w:tr>
      <w:tr>
        <w:trPr>
          <w:trHeight w:val="230"/>
        </w:trPr>
        <w:tc>
          <w:tcPr>
            <w:tcW w:w="4360" w:type="dxa"/>
            <w:vAlign w:val="bottom"/>
          </w:tcPr>
          <w:p>
            <w:pPr>
              <w:spacing w:after="0"/>
              <w:rPr>
                <w:sz w:val="20"/>
                <w:szCs w:val="20"/>
                <w:color w:val="auto"/>
              </w:rPr>
            </w:pPr>
            <w:r>
              <w:rPr>
                <w:rFonts w:ascii="Arial" w:cs="Arial" w:eastAsia="Arial" w:hAnsi="Arial"/>
                <w:sz w:val="18"/>
                <w:szCs w:val="18"/>
                <w:color w:val="auto"/>
              </w:rPr>
              <w:t>Less: SLT Related Stock Compensation Expense</w:t>
            </w:r>
          </w:p>
        </w:tc>
        <w:tc>
          <w:tcPr>
            <w:tcW w:w="260" w:type="dxa"/>
            <w:vAlign w:val="bottom"/>
          </w:tcPr>
          <w:p>
            <w:pPr>
              <w:spacing w:after="0"/>
              <w:rPr>
                <w:sz w:val="19"/>
                <w:szCs w:val="19"/>
                <w:color w:val="auto"/>
              </w:rPr>
            </w:pPr>
          </w:p>
        </w:tc>
        <w:tc>
          <w:tcPr>
            <w:tcW w:w="1500" w:type="dxa"/>
            <w:vAlign w:val="bottom"/>
          </w:tcPr>
          <w:p>
            <w:pPr>
              <w:jc w:val="right"/>
              <w:ind w:right="110"/>
              <w:spacing w:after="0"/>
              <w:rPr>
                <w:sz w:val="20"/>
                <w:szCs w:val="20"/>
                <w:color w:val="auto"/>
              </w:rPr>
            </w:pPr>
            <w:r>
              <w:rPr>
                <w:rFonts w:ascii="Arial" w:cs="Arial" w:eastAsia="Arial" w:hAnsi="Arial"/>
                <w:sz w:val="18"/>
                <w:szCs w:val="18"/>
                <w:color w:val="auto"/>
              </w:rPr>
              <w:t>(82)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3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360" w:type="dxa"/>
            <w:vAlign w:val="bottom"/>
          </w:tcPr>
          <w:p>
            <w:pPr>
              <w:jc w:val="right"/>
              <w:ind w:right="151"/>
              <w:spacing w:after="0"/>
              <w:rPr>
                <w:sz w:val="20"/>
                <w:szCs w:val="20"/>
                <w:color w:val="auto"/>
              </w:rPr>
            </w:pPr>
            <w:r>
              <w:rPr>
                <w:rFonts w:ascii="Arial" w:cs="Arial" w:eastAsia="Arial" w:hAnsi="Arial"/>
                <w:sz w:val="18"/>
                <w:szCs w:val="18"/>
                <w:color w:val="auto"/>
              </w:rPr>
              <w:t>—</w:t>
            </w:r>
          </w:p>
        </w:tc>
      </w:tr>
      <w:tr>
        <w:trPr>
          <w:trHeight w:val="223"/>
        </w:trPr>
        <w:tc>
          <w:tcPr>
            <w:tcW w:w="43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Adjusted Stock Compensation Expense</w:t>
            </w: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150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8,257</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1300" w:type="dxa"/>
            <w:vAlign w:val="bottom"/>
            <w:tcBorders>
              <w:top w:val="single" w:sz="8" w:color="auto"/>
              <w:bottom w:val="single" w:sz="8" w:color="auto"/>
            </w:tcBorders>
            <w:shd w:val="clear" w:color="auto" w:fill="CCEEFF"/>
          </w:tcPr>
          <w:p>
            <w:pPr>
              <w:jc w:val="right"/>
              <w:ind w:right="171"/>
              <w:spacing w:after="0"/>
              <w:rPr>
                <w:sz w:val="20"/>
                <w:szCs w:val="20"/>
                <w:color w:val="auto"/>
              </w:rPr>
            </w:pPr>
            <w:r>
              <w:rPr>
                <w:rFonts w:ascii="Arial" w:cs="Arial" w:eastAsia="Arial" w:hAnsi="Arial"/>
                <w:sz w:val="18"/>
                <w:szCs w:val="18"/>
                <w:color w:val="auto"/>
              </w:rPr>
              <w:t>2,591</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1220" w:type="dxa"/>
            <w:vAlign w:val="bottom"/>
            <w:tcBorders>
              <w:top w:val="single" w:sz="8" w:color="auto"/>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729</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1360" w:type="dxa"/>
            <w:vAlign w:val="bottom"/>
            <w:tcBorders>
              <w:top w:val="single" w:sz="8" w:color="auto"/>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274</w:t>
            </w:r>
          </w:p>
        </w:tc>
      </w:tr>
      <w:tr>
        <w:trPr>
          <w:trHeight w:val="223"/>
        </w:trPr>
        <w:tc>
          <w:tcPr>
            <w:tcW w:w="4360" w:type="dxa"/>
            <w:vAlign w:val="bottom"/>
          </w:tcPr>
          <w:p>
            <w:pPr>
              <w:spacing w:after="0"/>
              <w:rPr>
                <w:sz w:val="20"/>
                <w:szCs w:val="20"/>
                <w:color w:val="auto"/>
              </w:rPr>
            </w:pPr>
            <w:r>
              <w:rPr>
                <w:rFonts w:ascii="Arial" w:cs="Arial" w:eastAsia="Arial" w:hAnsi="Arial"/>
                <w:sz w:val="18"/>
                <w:szCs w:val="18"/>
                <w:color w:val="auto"/>
              </w:rPr>
              <w:t>Adjusted EBITDA</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185,297</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ind w:right="171"/>
              <w:spacing w:after="0"/>
              <w:rPr>
                <w:sz w:val="20"/>
                <w:szCs w:val="20"/>
                <w:color w:val="auto"/>
              </w:rPr>
            </w:pPr>
            <w:r>
              <w:rPr>
                <w:rFonts w:ascii="Arial" w:cs="Arial" w:eastAsia="Arial" w:hAnsi="Arial"/>
                <w:sz w:val="18"/>
                <w:szCs w:val="18"/>
                <w:color w:val="auto"/>
              </w:rPr>
              <w:t>160,840</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23,234</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25,161</w:t>
            </w:r>
          </w:p>
        </w:tc>
      </w:tr>
      <w:tr>
        <w:trPr>
          <w:trHeight w:val="20"/>
        </w:trPr>
        <w:tc>
          <w:tcPr>
            <w:tcW w:w="43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170"/>
        </w:trPr>
        <w:tc>
          <w:tcPr>
            <w:tcW w:w="43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r>
      <w:tr>
        <w:trPr>
          <w:trHeight w:val="230"/>
        </w:trPr>
        <w:tc>
          <w:tcPr>
            <w:tcW w:w="4360" w:type="dxa"/>
            <w:vAlign w:val="bottom"/>
          </w:tcPr>
          <w:p>
            <w:pPr>
              <w:spacing w:after="0"/>
              <w:rPr>
                <w:sz w:val="20"/>
                <w:szCs w:val="20"/>
                <w:color w:val="auto"/>
              </w:rPr>
            </w:pPr>
            <w:r>
              <w:rPr>
                <w:rFonts w:ascii="Arial" w:cs="Arial" w:eastAsia="Arial" w:hAnsi="Arial"/>
                <w:sz w:val="18"/>
                <w:szCs w:val="18"/>
                <w:color w:val="auto"/>
              </w:rPr>
              <w:t>Adjusted EBITDA Margin</w:t>
            </w: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16.3 %</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19.5 %</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10.6 %</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27.3 %</w:t>
            </w:r>
          </w:p>
        </w:tc>
      </w:tr>
      <w:tr>
        <w:trPr>
          <w:trHeight w:val="203"/>
        </w:trPr>
        <w:tc>
          <w:tcPr>
            <w:tcW w:w="43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r>
      <w:tr>
        <w:trPr>
          <w:trHeight w:val="230"/>
        </w:trPr>
        <w:tc>
          <w:tcPr>
            <w:tcW w:w="4360" w:type="dxa"/>
            <w:vAlign w:val="bottom"/>
          </w:tcPr>
          <w:p>
            <w:pPr>
              <w:spacing w:after="0"/>
              <w:rPr>
                <w:sz w:val="20"/>
                <w:szCs w:val="20"/>
                <w:color w:val="auto"/>
              </w:rPr>
            </w:pPr>
            <w:r>
              <w:rPr>
                <w:rFonts w:ascii="Arial" w:cs="Arial" w:eastAsia="Arial" w:hAnsi="Arial"/>
                <w:sz w:val="18"/>
                <w:szCs w:val="18"/>
                <w:color w:val="auto"/>
              </w:rPr>
              <w:t>Cash Flow - Operating Activities</w:t>
            </w:r>
          </w:p>
        </w:tc>
        <w:tc>
          <w:tcPr>
            <w:tcW w:w="260" w:type="dxa"/>
            <w:vAlign w:val="bottom"/>
          </w:tcPr>
          <w:p>
            <w:pPr>
              <w:spacing w:after="0"/>
              <w:rPr>
                <w:sz w:val="19"/>
                <w:szCs w:val="19"/>
                <w:color w:val="auto"/>
              </w:rPr>
            </w:pPr>
          </w:p>
        </w:tc>
        <w:tc>
          <w:tcPr>
            <w:tcW w:w="1500" w:type="dxa"/>
            <w:vAlign w:val="bottom"/>
          </w:tcPr>
          <w:p>
            <w:pPr>
              <w:jc w:val="right"/>
              <w:ind w:right="150"/>
              <w:spacing w:after="0"/>
              <w:rPr>
                <w:sz w:val="20"/>
                <w:szCs w:val="20"/>
                <w:color w:val="auto"/>
              </w:rPr>
            </w:pPr>
            <w:r>
              <w:rPr>
                <w:rFonts w:ascii="Arial" w:cs="Arial" w:eastAsia="Arial" w:hAnsi="Arial"/>
                <w:sz w:val="18"/>
                <w:szCs w:val="18"/>
                <w:color w:val="auto"/>
              </w:rPr>
              <w:t>137,107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29"/>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Purchase of PPE, Net</w:t>
            </w:r>
          </w:p>
        </w:tc>
        <w:tc>
          <w:tcPr>
            <w:tcW w:w="2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(46,130)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23"/>
        </w:trPr>
        <w:tc>
          <w:tcPr>
            <w:tcW w:w="4360" w:type="dxa"/>
            <w:vAlign w:val="bottom"/>
          </w:tcPr>
          <w:p>
            <w:pPr>
              <w:spacing w:after="0"/>
              <w:rPr>
                <w:sz w:val="20"/>
                <w:szCs w:val="20"/>
                <w:color w:val="auto"/>
              </w:rPr>
            </w:pPr>
            <w:r>
              <w:rPr>
                <w:rFonts w:ascii="Arial" w:cs="Arial" w:eastAsia="Arial" w:hAnsi="Arial"/>
                <w:sz w:val="18"/>
                <w:szCs w:val="18"/>
                <w:color w:val="auto"/>
              </w:rPr>
              <w:t>Free Cash Flow</w:t>
            </w:r>
          </w:p>
        </w:tc>
        <w:tc>
          <w:tcPr>
            <w:tcW w:w="260" w:type="dxa"/>
            <w:vAlign w:val="bottom"/>
          </w:tcPr>
          <w:p>
            <w:pPr>
              <w:spacing w:after="0"/>
              <w:rPr>
                <w:sz w:val="19"/>
                <w:szCs w:val="19"/>
                <w:color w:val="auto"/>
              </w:rPr>
            </w:pPr>
          </w:p>
        </w:tc>
        <w:tc>
          <w:tcPr>
            <w:tcW w:w="1500" w:type="dxa"/>
            <w:vAlign w:val="bottom"/>
          </w:tcPr>
          <w:p>
            <w:pPr>
              <w:jc w:val="right"/>
              <w:ind w:right="150"/>
              <w:spacing w:after="0"/>
              <w:rPr>
                <w:sz w:val="20"/>
                <w:szCs w:val="20"/>
                <w:color w:val="auto"/>
              </w:rPr>
            </w:pPr>
            <w:r>
              <w:rPr>
                <w:rFonts w:ascii="Arial" w:cs="Arial" w:eastAsia="Arial" w:hAnsi="Arial"/>
                <w:sz w:val="18"/>
                <w:szCs w:val="18"/>
                <w:color w:val="auto"/>
              </w:rPr>
              <w:t>90,977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30"/>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Free Cash Flow - % of Net Sales</w:t>
            </w: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8.0 %</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171450</wp:posOffset>
            </wp:positionV>
            <wp:extent cx="7054850" cy="1289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054850" cy="128905"/>
                    </a:xfrm>
                    <a:prstGeom prst="rect">
                      <a:avLst/>
                    </a:prstGeom>
                    <a:noFill/>
                  </pic:spPr>
                </pic:pic>
              </a:graphicData>
            </a:graphic>
          </wp:anchor>
        </w:drawing>
      </w:r>
    </w:p>
    <w:p>
      <w:pPr>
        <w:spacing w:after="0" w:line="254" w:lineRule="exact"/>
        <w:rPr>
          <w:sz w:val="20"/>
          <w:szCs w:val="20"/>
          <w:color w:val="auto"/>
        </w:rPr>
      </w:pPr>
    </w:p>
    <w:p>
      <w:pPr>
        <w:spacing w:after="0"/>
        <w:rPr>
          <w:sz w:val="20"/>
          <w:szCs w:val="20"/>
          <w:color w:val="auto"/>
        </w:rPr>
      </w:pPr>
      <w:r>
        <w:rPr>
          <w:rFonts w:ascii="Arial" w:cs="Arial" w:eastAsia="Arial" w:hAnsi="Arial"/>
          <w:sz w:val="14"/>
          <w:szCs w:val="14"/>
          <w:color w:val="auto"/>
        </w:rPr>
        <w:t>*Adjusted Measures details are presented on the corresponding Reconciliation of GAAP and Adjusted Financial Measures</w:t>
      </w:r>
    </w:p>
    <w:sectPr>
      <w:pgSz w:w="11900" w:h="16838" w:orient="portrait"/>
      <w:cols w:equalWidth="0" w:num="1">
        <w:col w:w="11100"/>
      </w:cols>
      <w:pgMar w:left="400" w:top="1417"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1"/>
      <w:numFmt w:val="decimal"/>
      <w:start w:val="104"/>
    </w:lvl>
  </w:abstractNum>
  <w:abstractNum w:abstractNumId="2">
    <w:nsid w:val="515F007C"/>
    <w:multiLevelType w:val="hybridMultilevel"/>
    <w:lvl w:ilvl="0">
      <w:lvlJc w:val="left"/>
      <w:lvlText w:val="•"/>
      <w:numFmt w:val="bullet"/>
      <w:start w:val="1"/>
    </w:lvl>
  </w:abstractNum>
  <w:abstractNum w:abstractNumId="3">
    <w:nsid w:val="5BD062C2"/>
    <w:multiLevelType w:val="hybridMultilevel"/>
    <w:lvl w:ilvl="0">
      <w:lvlJc w:val="left"/>
      <w:lvlText w:val="•"/>
      <w:numFmt w:val="bullet"/>
      <w:start w:val="1"/>
    </w:lvl>
  </w:abstractNum>
  <w:abstractNum w:abstractNumId="4">
    <w:nsid w:val="12200854"/>
    <w:multiLevelType w:val="hybridMultilevel"/>
    <w:lvl w:ilvl="0">
      <w:lvlJc w:val="left"/>
      <w:lvlText w:val="•"/>
      <w:numFmt w:val="bullet"/>
      <w:start w:val="1"/>
    </w:lvl>
  </w:abstractNum>
  <w:abstractNum w:abstractNumId="5">
    <w:nsid w:val="4DB127F8"/>
    <w:multiLevelType w:val="hybridMultilevel"/>
    <w:lvl w:ilvl="0">
      <w:lvlJc w:val="left"/>
      <w:lvlText w:val="•"/>
      <w:numFmt w:val="bullet"/>
      <w:start w:val="1"/>
    </w:lvl>
  </w:abstractNum>
  <w:abstractNum w:abstractNumId="6">
    <w:nsid w:val="216231B"/>
    <w:multiLevelType w:val="hybridMultilevel"/>
    <w:lvl w:ilvl="0">
      <w:lvlJc w:val="left"/>
      <w:lvlText w:val="•"/>
      <w:numFmt w:val="bullet"/>
      <w:start w:val="1"/>
    </w:lvl>
  </w:abstractNum>
  <w:abstractNum w:abstractNumId="7">
    <w:nsid w:val="1F16E9E8"/>
    <w:multiLevelType w:val="hybridMultilevel"/>
    <w:lvl w:ilvl="0">
      <w:lvlJc w:val="left"/>
      <w:lvlText w:val="•"/>
      <w:numFmt w:val="bullet"/>
      <w:start w:val="1"/>
    </w:lvl>
  </w:abstractNum>
  <w:abstractNum w:abstractNumId="8">
    <w:nsid w:val="1190CDE7"/>
    <w:multiLevelType w:val="hybridMultilevel"/>
    <w:lvl w:ilvl="0">
      <w:lvlJc w:val="left"/>
      <w:lvlText w:val="(%1)"/>
      <w:numFmt w:val="decimal"/>
      <w:start w:val="212"/>
    </w:lvl>
  </w:abstractNum>
  <w:abstractNum w:abstractNumId="9">
    <w:nsid w:val="66EF438D"/>
    <w:multiLevelType w:val="hybridMultilevel"/>
    <w:lvl w:ilvl="0">
      <w:lvlJc w:val="left"/>
      <w:lvlText w:val="(%1)"/>
      <w:numFmt w:val="decimal"/>
      <w:start w:val="1"/>
    </w:lvl>
  </w:abstractNum>
  <w:abstractNum w:abstractNumId="10">
    <w:nsid w:val="140E0F76"/>
    <w:multiLevelType w:val="hybridMultilevel"/>
    <w:lvl w:ilvl="0">
      <w:lvlJc w:val="left"/>
      <w:lvlText w:val="(%1)"/>
      <w:numFmt w:val="decimal"/>
      <w:start w:val="1"/>
    </w:lvl>
  </w:abstractNum>
  <w:abstractNum w:abstractNumId="11">
    <w:nsid w:val="3352255A"/>
    <w:multiLevelType w:val="hybridMultilevel"/>
    <w:lvl w:ilvl="0">
      <w:lvlJc w:val="left"/>
      <w:lvlText w:val="(%1)"/>
      <w:numFmt w:val="decimal"/>
      <w:start w:val="1"/>
    </w:lvl>
  </w:abstractNum>
  <w:abstractNum w:abstractNumId="12">
    <w:nsid w:val="109CF92E"/>
    <w:multiLevelType w:val="hybridMultilevel"/>
    <w:lvl w:ilvl="0">
      <w:lvlJc w:val="left"/>
      <w:lvlText w:val="(%1)"/>
      <w:numFmt w:val="decimal"/>
      <w:start w:val="1"/>
    </w:lvl>
  </w:abstractNum>
  <w:abstractNum w:abstractNumId="13">
    <w:nsid w:val="DED726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2026-11-05T06:44:23Z</dcterms:created>
  <dcterms:modified xsi:type="dcterms:W3CDTF">2026-11-05T06:44:23Z</dcterms:modified>
</cp:coreProperties>
</file>