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 xml:space="preserve">FORM 8-K </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Pursuant to Section 13 or 15(d) of the Securities Exchange Act of 1934</w:t>
      </w:r>
    </w:p>
    <w:p>
      <w:pPr>
        <w:pStyle w:val="TextBody"/>
        <w:bidi w:val="0"/>
        <w:spacing w:lineRule="auto" w:line="288" w:before="260" w:after="283"/>
        <w:jc w:val="center"/>
        <w:rPr>
          <w:rFonts w:ascii="Arial;sans-serif" w:hAnsi="Arial;sans-serif"/>
          <w:b/>
          <w:color w:val="000000"/>
          <w:sz w:val="24"/>
        </w:rPr>
      </w:pPr>
      <w:r>
        <w:rPr>
          <w:rFonts w:ascii="Arial;sans-serif" w:hAnsi="Arial;sans-serif"/>
          <w:b/>
          <w:color w:val="000000"/>
          <w:sz w:val="24"/>
        </w:rPr>
        <w:t>Date of Report (Date of earliest event reported) July 16, 2026 (July 15, 2026)</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 xml:space="preserve">GIBRALTAR INDUSTRIES, INC.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tbl>
      <w:tblPr>
        <w:tblW w:w="9562" w:type="dxa"/>
        <w:jc w:val="center"/>
        <w:tblInd w:w="0" w:type="dxa"/>
        <w:tblLayout w:type="fixed"/>
        <w:tblCellMar>
          <w:top w:w="28" w:type="dxa"/>
          <w:left w:w="28" w:type="dxa"/>
          <w:bottom w:w="28" w:type="dxa"/>
          <w:right w:w="28" w:type="dxa"/>
        </w:tblCellMar>
      </w:tblPr>
      <w:tblGrid>
        <w:gridCol w:w="1032"/>
        <w:gridCol w:w="906"/>
        <w:gridCol w:w="912"/>
        <w:gridCol w:w="109"/>
        <w:gridCol w:w="109"/>
        <w:gridCol w:w="109"/>
        <w:gridCol w:w="902"/>
        <w:gridCol w:w="902"/>
        <w:gridCol w:w="910"/>
        <w:gridCol w:w="109"/>
        <w:gridCol w:w="109"/>
        <w:gridCol w:w="109"/>
        <w:gridCol w:w="980"/>
        <w:gridCol w:w="980"/>
        <w:gridCol w:w="138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000-22462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16-1445150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(State or other jurisdiction of</w:t>
              <w:br/>
              <w:t>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(IRS Employer Identification No.)</w:t>
            </w:r>
          </w:p>
        </w:tc>
      </w:tr>
    </w:tbl>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 xml:space="preserve">3556 Lake Shore Road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P.O. Box 2028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Buffalo, New York 14219-0228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lineRule="auto" w:line="288" w:before="260" w:after="283"/>
        <w:jc w:val="center"/>
        <w:rPr>
          <w:rFonts w:ascii="Arial;sans-serif" w:hAnsi="Arial;sans-serif"/>
          <w:b w:val="false"/>
          <w:color w:val="000000"/>
          <w:sz w:val="24"/>
        </w:rPr>
      </w:pPr>
      <w:r>
        <w:rPr>
          <w:rFonts w:ascii="Arial;sans-serif" w:hAnsi="Arial;sans-serif"/>
          <w:b w:val="false"/>
          <w:color w:val="000000"/>
          <w:sz w:val="24"/>
        </w:rPr>
        <w:t xml:space="preserve">(716) 826-6500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(Registrant’s telephone number, including area code)</w:t>
      </w:r>
    </w:p>
    <w:p>
      <w:pPr>
        <w:pStyle w:val="TextBody"/>
        <w:bidi w:val="0"/>
        <w:spacing w:lineRule="auto" w:line="288" w:before="140" w:after="283"/>
        <w:jc w:val="left"/>
        <w:rPr>
          <w:rFonts w:ascii="Arial;sans-serif" w:hAnsi="Arial;sans-serif"/>
          <w:b w:val="false"/>
          <w:color w:val="000000"/>
          <w:sz w:val="22"/>
        </w:rPr>
      </w:pPr>
      <w:r>
        <w:rPr>
          <w:rFonts w:ascii="Arial;sans-serif" w:hAnsi="Arial;sans-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140" w:after="283"/>
        <w:jc w:val="left"/>
        <w:rPr/>
      </w:pPr>
      <w:r>
        <w:rPr>
          <w:color w:val="000000"/>
        </w:rPr>
        <w:t>☐     </w:t>
      </w:r>
      <w:r>
        <w:rPr>
          <w:rFonts w:ascii="Arial;sans-serif" w:hAnsi="Arial;sans-serif"/>
          <w:b w:val="false"/>
          <w:color w:val="000000"/>
          <w:sz w:val="22"/>
        </w:rPr>
        <w:t>Written communications pursuant to Rule 425 under the Securities Act (17 CFR 230.425)</w:t>
      </w:r>
    </w:p>
    <w:p>
      <w:pPr>
        <w:pStyle w:val="TextBody"/>
        <w:bidi w:val="0"/>
        <w:spacing w:lineRule="auto" w:line="288" w:before="140" w:after="283"/>
        <w:jc w:val="left"/>
        <w:rPr/>
      </w:pPr>
      <w:r>
        <w:rPr>
          <w:color w:val="000000"/>
        </w:rPr>
        <w:t>☐     </w:t>
      </w:r>
      <w:r>
        <w:rPr>
          <w:rFonts w:ascii="Arial;sans-serif" w:hAnsi="Arial;sans-serif"/>
          <w:b w:val="false"/>
          <w:color w:val="000000"/>
          <w:sz w:val="22"/>
        </w:rPr>
        <w:t>Soliciting material pursuant to Rule 14a-12 under the Exchange Act (17 CFR 240.14a-12)</w:t>
      </w:r>
    </w:p>
    <w:p>
      <w:pPr>
        <w:pStyle w:val="TextBody"/>
        <w:bidi w:val="0"/>
        <w:spacing w:lineRule="auto" w:line="288" w:before="140" w:after="283"/>
        <w:jc w:val="left"/>
        <w:rPr/>
      </w:pPr>
      <w:r>
        <w:rPr>
          <w:color w:val="000000"/>
        </w:rPr>
        <w:t>☐     </w:t>
      </w:r>
      <w:r>
        <w:rPr>
          <w:rFonts w:ascii="Arial;sans-serif" w:hAnsi="Arial;sans-serif"/>
          <w:b w:val="false"/>
          <w:color w:val="000000"/>
          <w:sz w:val="22"/>
        </w:rPr>
        <w:t>Pre-commencement communications pursuant to Rule 14d-2(b) under the Exchange Act (17 CFR 240.14d-2(b))</w:t>
      </w:r>
    </w:p>
    <w:p>
      <w:pPr>
        <w:pStyle w:val="TextBody"/>
        <w:bidi w:val="0"/>
        <w:spacing w:lineRule="auto" w:line="288" w:before="140" w:after="283"/>
        <w:jc w:val="left"/>
        <w:rPr/>
      </w:pPr>
      <w:r>
        <w:rPr>
          <w:color w:val="000000"/>
        </w:rPr>
        <w:t>☐     </w:t>
      </w:r>
      <w:r>
        <w:rPr>
          <w:rFonts w:ascii="Arial;sans-serif" w:hAnsi="Arial;sans-serif"/>
          <w:b w:val="false"/>
          <w:color w:val="000000"/>
          <w:sz w:val="22"/>
        </w:rPr>
        <w:t>Pre-commencement communications pursuant to Rule 13e-4(c) under the Exchange Act (17 CFR 240.13e-4(c))</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34"/>
        <w:gridCol w:w="1191"/>
        <w:gridCol w:w="1203"/>
        <w:gridCol w:w="109"/>
        <w:gridCol w:w="109"/>
        <w:gridCol w:w="109"/>
        <w:gridCol w:w="535"/>
        <w:gridCol w:w="535"/>
        <w:gridCol w:w="537"/>
        <w:gridCol w:w="109"/>
        <w:gridCol w:w="109"/>
        <w:gridCol w:w="109"/>
        <w:gridCol w:w="1204"/>
        <w:gridCol w:w="1204"/>
        <w:gridCol w:w="1708"/>
      </w:tblGrid>
      <w:tr>
        <w:trPr/>
        <w:tc>
          <w:tcPr>
            <w:tcW w:w="14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Name of each exchange on which registered</w:t>
            </w:r>
          </w:p>
        </w:tc>
      </w:tr>
      <w:tr>
        <w:trPr/>
        <w:tc>
          <w:tcPr>
            <w:tcW w:w="3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Stock Market</w:t>
            </w:r>
          </w:p>
        </w:tc>
      </w:tr>
    </w:tbl>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rFonts w:ascii="Arial;sans-serif" w:hAnsi="Arial;sans-serif"/>
          <w:b w:val="false"/>
          <w:color w:val="000000"/>
          <w:sz w:val="22"/>
        </w:rPr>
        <w:t xml:space="preserve">Emerging growth company </w:t>
      </w:r>
      <w:r>
        <w:rPr>
          <w:color w:val="000000"/>
        </w:rPr>
        <w:t xml:space="preserve">☐ </w:t>
      </w:r>
    </w:p>
    <w:p>
      <w:pPr>
        <w:pStyle w:val="TextBody"/>
        <w:bidi w:val="0"/>
        <w:spacing w:lineRule="auto" w:line="288" w:before="100" w:after="100"/>
        <w:jc w:val="left"/>
        <w:rPr/>
      </w:pPr>
      <w:r>
        <w:rPr>
          <w:rFonts w:ascii="Arial;sans-serif" w:hAnsi="Arial;sans-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15, 2026, Gibraltar Industries, Inc. (the “Company”) sold assets related to its Renewables racking and foundations business for $5 million, subject to customary post-closing adjustments, to Unirac, the leading manufacturer of solar PV mounting systems in North America. This sale completes the divestiture of the Company’s Renewables business, which was classified as held for sale and reported as discontinued operations in the Company's consolidated financial statements effective June 30, 2025; the electrical balance-of-systems portion of the business was sold on February 20, 2026.</w:t>
      </w:r>
    </w:p>
    <w:p>
      <w:pPr>
        <w:pStyle w:val="TextBody"/>
        <w:bidi w:val="0"/>
        <w:spacing w:lineRule="auto" w:line="288" w:before="132" w:after="100"/>
        <w:jc w:val="both"/>
        <w:rPr/>
      </w:pPr>
      <w:r>
        <w:rPr>
          <w:rFonts w:ascii="Arial;sans-serif" w:hAnsi="Arial;sans-serif"/>
          <w:b w:val="false"/>
          <w:color w:val="000000"/>
          <w:sz w:val="20"/>
        </w:rPr>
        <w:t xml:space="preserve">A copy of the news release related to the sale of the Company's racking and foundations business is furnished herewith as </w:t>
      </w:r>
      <w:hyperlink w:anchor="exhibit991-saleofrenewables.htm">
        <w:r>
          <w:rPr>
            <w:rStyle w:val="InternetLink"/>
            <w:rFonts w:ascii="Arial;sans-serif" w:hAnsi="Arial;sans-serif"/>
            <w:b w:val="false"/>
            <w:color w:val="0000FF"/>
            <w:sz w:val="20"/>
            <w:u w:val="single"/>
          </w:rPr>
          <w:t>Exhibit 99.1</w:t>
        </w:r>
      </w:hyperlink>
      <w:r>
        <w:rPr>
          <w:color w:val="000000"/>
        </w:rPr>
        <w:t xml:space="preserve"> </w:t>
      </w:r>
      <w:r>
        <w:rPr>
          <w:rFonts w:ascii="Arial;sans-serif" w:hAnsi="Arial;sans-serif"/>
          <w:b w:val="false"/>
          <w:color w:val="000000"/>
          <w:sz w:val="20"/>
        </w:rPr>
        <w:t>and is incorporated herein by reference.</w:t>
      </w:r>
    </w:p>
    <w:p>
      <w:pPr>
        <w:pStyle w:val="TextBody"/>
        <w:bidi w:val="0"/>
        <w:spacing w:before="132" w:after="283"/>
        <w:jc w:val="both"/>
        <w:rPr/>
      </w:pPr>
      <w:r>
        <w:rPr/>
      </w:r>
    </w:p>
    <w:p>
      <w:pPr>
        <w:pStyle w:val="TextBody"/>
        <w:bidi w:val="0"/>
        <w:spacing w:lineRule="auto" w:line="288" w:before="132" w:after="283"/>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40" w:after="283"/>
        <w:jc w:val="left"/>
        <w:rPr>
          <w:color w:val="000000"/>
        </w:rPr>
      </w:pPr>
      <w:r>
        <w:rPr>
          <w:color w:val="000000"/>
        </w:rPr>
        <w:t>    </w:t>
      </w:r>
      <w:r>
        <w:rPr>
          <w:rFonts w:ascii="Arial;sans-serif" w:hAnsi="Arial;sans-serif"/>
          <w:b w:val="false"/>
          <w:color w:val="000000"/>
          <w:sz w:val="20"/>
        </w:rPr>
        <w:t>(a)-(c)    Not Applicable</w:t>
      </w:r>
    </w:p>
    <w:p>
      <w:pPr>
        <w:pStyle w:val="TextBody"/>
        <w:bidi w:val="0"/>
        <w:spacing w:lineRule="auto" w:line="288" w:before="140" w:after="283"/>
        <w:jc w:val="left"/>
        <w:rPr>
          <w:color w:val="000000"/>
        </w:rPr>
      </w:pPr>
      <w:r>
        <w:rPr>
          <w:color w:val="000000"/>
        </w:rPr>
        <w:t>    </w:t>
      </w:r>
      <w:r>
        <w:rPr>
          <w:rFonts w:ascii="Arial;sans-serif" w:hAnsi="Arial;sans-serif"/>
          <w:b w:val="false"/>
          <w:color w:val="000000"/>
          <w:sz w:val="20"/>
        </w:rPr>
        <w:t>(d)    Exhibits:</w:t>
      </w:r>
    </w:p>
    <w:tbl>
      <w:tblPr>
        <w:tblW w:w="8217" w:type="dxa"/>
        <w:jc w:val="center"/>
        <w:tblInd w:w="0" w:type="dxa"/>
        <w:tblLayout w:type="fixed"/>
        <w:tblCellMar>
          <w:top w:w="28" w:type="dxa"/>
          <w:left w:w="28" w:type="dxa"/>
          <w:bottom w:w="28" w:type="dxa"/>
          <w:right w:w="28" w:type="dxa"/>
        </w:tblCellMar>
      </w:tblPr>
      <w:tblGrid>
        <w:gridCol w:w="391"/>
        <w:gridCol w:w="343"/>
        <w:gridCol w:w="346"/>
        <w:gridCol w:w="109"/>
        <w:gridCol w:w="109"/>
        <w:gridCol w:w="109"/>
        <w:gridCol w:w="1990"/>
        <w:gridCol w:w="1990"/>
        <w:gridCol w:w="283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saleofrenewables.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saleofrenewables.htm">
              <w:r>
                <w:rPr>
                  <w:rStyle w:val="InternetLink"/>
                  <w:rFonts w:ascii="Arial;sans-serif" w:hAnsi="Arial;sans-serif"/>
                  <w:b w:val="false"/>
                  <w:color w:val="0000FF"/>
                  <w:sz w:val="20"/>
                  <w:u w:val="single"/>
                </w:rPr>
                <w:t>Press release issued by Gibraltar Industries, Inc. on July 16,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614"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321"/>
        <w:gridCol w:w="321"/>
        <w:gridCol w:w="321"/>
        <w:gridCol w:w="589"/>
        <w:gridCol w:w="589"/>
        <w:gridCol w:w="589"/>
        <w:gridCol w:w="589"/>
        <w:gridCol w:w="589"/>
        <w:gridCol w:w="84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GIBRALTAR INDUSTRIES, INC.</w:t>
            </w:r>
          </w:p>
          <w:p>
            <w:pPr>
              <w:pStyle w:val="TableContents"/>
              <w:bidi w:val="0"/>
              <w:spacing w:lineRule="auto" w:line="240" w:before="0" w:after="0"/>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16, 2026</w:t>
            </w:r>
          </w:p>
        </w:tc>
        <w:tc>
          <w:tcPr>
            <w:tcW w:w="4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7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240"/>
        <w:jc w:val="right"/>
        <w:rPr/>
      </w:pPr>
      <w:r>
        <w:rPr/>
        <w:drawing>
          <wp:inline distT="0" distB="0" distL="0" distR="0">
            <wp:extent cx="2371725" cy="304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304800"/>
                    </a:xfrm>
                    <a:prstGeom prst="rect">
                      <a:avLst/>
                    </a:prstGeom>
                  </pic:spPr>
                </pic:pic>
              </a:graphicData>
            </a:graphic>
          </wp:inline>
        </w:drawing>
      </w:r>
    </w:p>
    <w:p>
      <w:pPr>
        <w:pStyle w:val="TextBody"/>
        <w:bidi w:val="0"/>
        <w:spacing w:before="0" w:after="120"/>
        <w:jc w:val="right"/>
        <w:rPr/>
      </w:pPr>
      <w:r>
        <w:rPr/>
      </w:r>
    </w:p>
    <w:p>
      <w:pPr>
        <w:pStyle w:val="TextBody"/>
        <w:bidi w:val="0"/>
        <w:spacing w:before="0" w:after="120"/>
        <w:jc w:val="right"/>
        <w:rPr/>
      </w:pPr>
      <w:r>
        <w:rPr/>
      </w:r>
    </w:p>
    <w:p>
      <w:pPr>
        <w:pStyle w:val="TextBody"/>
        <w:bidi w:val="0"/>
        <w:spacing w:lineRule="auto" w:line="333" w:before="0" w:after="120"/>
        <w:jc w:val="center"/>
        <w:rPr>
          <w:rFonts w:ascii="Arial;sans-serif" w:hAnsi="Arial;sans-serif"/>
          <w:b/>
          <w:color w:val="000000"/>
          <w:sz w:val="32"/>
        </w:rPr>
      </w:pPr>
      <w:r>
        <w:rPr>
          <w:rFonts w:ascii="Arial;sans-serif" w:hAnsi="Arial;sans-serif"/>
          <w:b/>
          <w:color w:val="000000"/>
          <w:sz w:val="32"/>
        </w:rPr>
        <w:t>GIBRALTAR COMPLETES DIVESTITURE OF RENEWABLES BUSINESS</w:t>
      </w:r>
    </w:p>
    <w:p>
      <w:pPr>
        <w:pStyle w:val="TextBody"/>
        <w:bidi w:val="0"/>
        <w:spacing w:before="0" w:after="120"/>
        <w:jc w:val="left"/>
        <w:rPr/>
      </w:pPr>
      <w:r>
        <w:rPr/>
      </w:r>
    </w:p>
    <w:p>
      <w:pPr>
        <w:pStyle w:val="TextBody"/>
        <w:bidi w:val="0"/>
        <w:spacing w:lineRule="auto" w:line="333" w:before="0" w:after="0"/>
        <w:jc w:val="both"/>
        <w:rPr/>
      </w:pPr>
      <w:r>
        <w:rPr>
          <w:rFonts w:ascii="Arial;sans-serif" w:hAnsi="Arial;sans-serif"/>
          <w:b/>
          <w:color w:val="000000"/>
          <w:sz w:val="22"/>
        </w:rPr>
        <w:t xml:space="preserve">BUFFALO, New York, July 16, 2026 </w:t>
      </w:r>
      <w:r>
        <w:rPr>
          <w:color w:val="000000"/>
        </w:rPr>
        <w:t xml:space="preserve">– </w:t>
      </w:r>
      <w:r>
        <w:rPr>
          <w:rFonts w:ascii="Arial;sans-serif" w:hAnsi="Arial;sans-serif"/>
          <w:b w:val="false"/>
          <w:color w:val="000000"/>
          <w:sz w:val="22"/>
        </w:rPr>
        <w:t>Gibraltar Industries, Inc. (Nasdaq: ROCK), a leading manufacturer and provider of products and services for the residential, agtech and infrastructure markets,</w:t>
      </w:r>
      <w:r>
        <w:rPr>
          <w:color w:val="000000"/>
        </w:rPr>
        <w:t xml:space="preserve"> </w:t>
      </w:r>
      <w:r>
        <w:rPr>
          <w:rFonts w:ascii="Arial;sans-serif" w:hAnsi="Arial;sans-serif"/>
          <w:b w:val="false"/>
          <w:color w:val="000000"/>
          <w:sz w:val="22"/>
        </w:rPr>
        <w:t xml:space="preserve">today announced that, in the second of a two-step process to divest its Renewables business by aligning it with industry leaders who continue to broaden their solar portfolios, has sold its racking and foundations operations to Unirac. This completes the divestiture of the Renewables business and supports Gibraltar’s strategic plan to simplify and focus its asset portfolio on the building products and structures end markets.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 xml:space="preserve">Additional details on the transaction may be found in the Form 8-K filed with the Securities and Exchange Commission. </w:t>
      </w:r>
    </w:p>
    <w:p>
      <w:pPr>
        <w:pStyle w:val="TextBody"/>
        <w:bidi w:val="0"/>
        <w:spacing w:before="0" w:after="0"/>
        <w:jc w:val="both"/>
        <w:rPr/>
      </w:pPr>
      <w:r>
        <w:rPr/>
      </w:r>
    </w:p>
    <w:p>
      <w:pPr>
        <w:pStyle w:val="TextBody"/>
        <w:bidi w:val="0"/>
        <w:spacing w:lineRule="auto" w:line="333" w:before="240" w:after="120"/>
        <w:jc w:val="left"/>
        <w:rPr>
          <w:rFonts w:ascii="Arial;sans-serif" w:hAnsi="Arial;sans-serif"/>
          <w:b/>
          <w:color w:val="000000"/>
          <w:sz w:val="22"/>
        </w:rPr>
      </w:pPr>
      <w:r>
        <w:rPr>
          <w:rFonts w:ascii="Arial;sans-serif" w:hAnsi="Arial;sans-serif"/>
          <w:b/>
          <w:color w:val="000000"/>
          <w:sz w:val="22"/>
        </w:rPr>
        <w:t>ABOUT GIBRALTAR</w:t>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Gibraltar is a leading manufacturer and provider of products and services for the residential, agtech, and infrastructure markets. Gibraltar’s mission, to make life better for people and the planet, is fueled by advancing the disciplines of engineering, science, and technology. Gibraltar is innovating to reshape critical markets in comfortable living and productive growing throughout North America. For more please visit www.gibraltar1.com.</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jc w:val="both"/>
        <w:rPr/>
      </w:pPr>
      <w:r>
        <w:rPr>
          <w:rFonts w:ascii="Arial;sans-serif" w:hAnsi="Arial;sans-serif"/>
          <w:b/>
          <w:color w:val="000000"/>
          <w:sz w:val="22"/>
        </w:rPr>
        <w:br/>
      </w:r>
      <w:r>
        <w:rPr>
          <w:rFonts w:ascii="Arial;sans-serif" w:hAnsi="Arial;sans-serif"/>
          <w:b w:val="false"/>
          <w:color w:val="000000"/>
          <w:sz w:val="22"/>
        </w:rPr>
        <w:t xml:space="preserve">Certain information set forth in this release, other than historical statements, contains “forward-looking statements” within the meaning of the Private Securities Litigation Reform Act of 1995 that are based, in whole or in part, on current expectations, estimates, forecasts, and projections about Gibraltar’s business, and management’s beliefs about future operations, results, and financial position. These statements are not guarantees of future performance and are subject to a number of risk factors, uncertainties, and assumptions. Actual events, performance, or results could differ materially from the anticipated events, performance, or results expressed or implied by such forward-looking statements. Factors that could cause actual results to differ materially from current expectations include, among other things: tariffs and retaliatory tariffs imposed by the United States or other countries on imported goods, including raw materials used in the manufacturing of the Company’s products; changes to economic conditions and customer demand for the Company’s products; the availability and pricing of principal raw materials and component parts, supply chain challenges causing project delays and field operations inefficiencies and disruptions, the loss of any key customers, adverse effects of inflation, the ability to continue to improve operating margins, the ability to generate order flow and sales and increase backlog; the ability to translate backlog into net sales, other general economic conditions and conditions in the particular markets in which Gibraltar operates, changes in spending due to laws and government incentives, such as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71725" cy="304800"/>
                    </a:xfrm>
                    <a:prstGeom prst="rect">
                      <a:avLst/>
                    </a:prstGeom>
                  </pic:spPr>
                </pic:pic>
              </a:graphicData>
            </a:graphic>
          </wp:inline>
        </w:drawing>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the Infrastructure Investment and Jobs Act, changes in customer demand and capital spending, competitive factors and pricing pressures, the ability to develop and launch new products in a cost-effective manner, the ability to realize synergies from newly acquired businesses, disruptions to IT systems, the impact of trade and regulation, rebates, credits and incentives and variations in government spending and ability to derive expected benefits from restructuring, productivity initiatives, liquidity enhancing actions, and other cost reduction actions. Before making any investment decisions regarding the Company, we strongly advise you to read the section entitled “Risk Factors” in the most recent annual report on Form 10-K which can be accessed under the “SEC Filings” link of the “Investor Info” page of the website at www.Gibraltar1.com. The Company undertakes no obligation to update any forward-looking statements, whether as a result of new information, future events or otherwise, except as may be required by applicable law or regulation.</w:t>
      </w:r>
    </w:p>
    <w:p>
      <w:pPr>
        <w:pStyle w:val="TextBody"/>
        <w:bidi w:val="0"/>
        <w:spacing w:before="0" w:after="0"/>
        <w:jc w:val="both"/>
        <w:rPr/>
      </w:pPr>
      <w:r>
        <w:rPr/>
      </w:r>
    </w:p>
    <w:p>
      <w:pPr>
        <w:pStyle w:val="TextBody"/>
        <w:bidi w:val="0"/>
        <w:spacing w:lineRule="auto" w:line="333" w:before="0" w:after="12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Alliance Advisors IR</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Jody Burfening/Carolyn Capaccio</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(212) 838-3777</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rock@allianceadvisors.com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1087</Words>
  <Characters>6330</Characters>
  <CharactersWithSpaces>7396</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