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72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021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Murphy Timothy F.</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3556 LAKE SHORE ROAD</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 O. BOX 2028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GIBRALTAR INDUSTRIES,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ROCK</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02/24/2021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center"/>
        <w:ind w:right="175"/>
        <w:spacing w:after="0"/>
        <w:rPr>
          <w:sz w:val="20"/>
          <w:szCs w:val="20"/>
          <w:color w:val="auto"/>
        </w:rPr>
      </w:pPr>
      <w:r>
        <w:rPr>
          <w:rFonts w:ascii="Arial" w:cs="Arial" w:eastAsia="Arial" w:hAnsi="Arial"/>
          <w:sz w:val="17"/>
          <w:szCs w:val="17"/>
          <w:color w:val="0000FF"/>
        </w:rPr>
        <w:t>Senior VP and CFO</w:t>
      </w:r>
    </w:p>
    <w:p>
      <w:pPr>
        <w:spacing w:after="0" w:line="382" w:lineRule="exact"/>
        <w:rPr>
          <w:sz w:val="24"/>
          <w:szCs w:val="24"/>
          <w:color w:val="auto"/>
        </w:rPr>
      </w:pPr>
    </w:p>
    <w:p>
      <w:pPr>
        <w:sectPr>
          <w:pgSz w:w="11900" w:h="16838" w:orient="portrait"/>
          <w:cols w:equalWidth="0" w:num="3">
            <w:col w:w="3180" w:space="720"/>
            <w:col w:w="3620" w:space="215"/>
            <w:col w:w="3345"/>
          </w:cols>
          <w:pgMar w:left="460" w:top="220" w:right="359" w:bottom="11"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420" w:type="dxa"/>
            <w:vAlign w:val="bottom"/>
            <w:gridSpan w:val="9"/>
          </w:tcPr>
          <w:p>
            <w:pPr>
              <w:ind w:left="140"/>
              <w:spacing w:after="0" w:line="137" w:lineRule="exact"/>
              <w:rPr>
                <w:sz w:val="20"/>
                <w:szCs w:val="20"/>
                <w:color w:val="auto"/>
              </w:rPr>
            </w:pPr>
            <w:r>
              <w:rPr>
                <w:rFonts w:ascii="Arial" w:cs="Arial" w:eastAsia="Arial" w:hAnsi="Arial"/>
                <w:sz w:val="13"/>
                <w:szCs w:val="13"/>
                <w:color w:val="auto"/>
                <w:w w:val="98"/>
              </w:rPr>
              <w:t>4. If Amendment, Date of Original Filed (Month/Day/Year)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gridSpan w:val="11"/>
          </w:tcPr>
          <w:p>
            <w:pPr>
              <w:ind w:left="32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11"/>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BUFFALO</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860" w:type="dxa"/>
            <w:vAlign w:val="bottom"/>
            <w:vMerge w:val="restart"/>
          </w:tcPr>
          <w:p>
            <w:pPr>
              <w:ind w:left="40"/>
              <w:spacing w:after="0"/>
              <w:rPr>
                <w:sz w:val="20"/>
                <w:szCs w:val="20"/>
                <w:color w:val="auto"/>
              </w:rPr>
            </w:pPr>
            <w:r>
              <w:rPr>
                <w:rFonts w:ascii="Arial" w:cs="Arial" w:eastAsia="Arial" w:hAnsi="Arial"/>
                <w:sz w:val="17"/>
                <w:szCs w:val="17"/>
                <w:color w:val="0000FF"/>
                <w:w w:val="88"/>
              </w:rPr>
              <w:t>14219-0228</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8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170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8"/>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9"/>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6"/>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60" w:type="dxa"/>
            <w:vAlign w:val="bottom"/>
          </w:tcPr>
          <w:p>
            <w:pPr>
              <w:spacing w:after="0"/>
              <w:rPr>
                <w:sz w:val="14"/>
                <w:szCs w:val="14"/>
                <w:color w:val="auto"/>
              </w:rPr>
            </w:pPr>
          </w:p>
        </w:tc>
        <w:tc>
          <w:tcPr>
            <w:tcW w:w="1880" w:type="dxa"/>
            <w:vAlign w:val="bottom"/>
            <w:gridSpan w:val="7"/>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1880" w:type="dxa"/>
            <w:vAlign w:val="bottom"/>
            <w:gridSpan w:val="7"/>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w:t>
            </w:r>
          </w:p>
        </w:tc>
        <w:tc>
          <w:tcPr>
            <w:tcW w:w="8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60" w:type="dxa"/>
            <w:vAlign w:val="bottom"/>
          </w:tcPr>
          <w:p>
            <w:pPr>
              <w:ind w:left="120"/>
              <w:spacing w:after="0"/>
              <w:rPr>
                <w:sz w:val="20"/>
                <w:szCs w:val="20"/>
                <w:color w:val="auto"/>
              </w:rPr>
            </w:pPr>
            <w:r>
              <w:rPr>
                <w:rFonts w:ascii="Arial" w:cs="Arial" w:eastAsia="Arial" w:hAnsi="Arial"/>
                <w:sz w:val="11"/>
                <w:szCs w:val="11"/>
                <w:b w:val="1"/>
                <w:bCs w:val="1"/>
                <w:color w:val="auto"/>
              </w:rPr>
              <w:t>5)</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9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340" w:type="dxa"/>
            <w:vAlign w:val="bottom"/>
            <w:gridSpan w:val="3"/>
          </w:tcPr>
          <w:p>
            <w:pPr>
              <w:spacing w:after="0"/>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2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360" w:type="dxa"/>
            <w:vAlign w:val="bottom"/>
            <w:tcBorders>
              <w:bottom w:val="single" w:sz="8" w:color="2C2C2C"/>
            </w:tcBorders>
            <w:gridSpan w:val="6"/>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3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Performance Stock Unit (March 2020)</w:t>
            </w:r>
            <w:r>
              <w:rPr>
                <w:rFonts w:ascii="Arial" w:cs="Arial" w:eastAsia="Arial" w:hAnsi="Arial"/>
                <w:sz w:val="21"/>
                <w:szCs w:val="21"/>
                <w:color w:val="008000"/>
                <w:vertAlign w:val="superscript"/>
              </w:rPr>
              <w:t>(1)</w:t>
            </w:r>
          </w:p>
        </w:tc>
        <w:tc>
          <w:tcPr>
            <w:tcW w:w="1020" w:type="dxa"/>
            <w:vAlign w:val="bottom"/>
            <w:tcBorders>
              <w:bottom w:val="single" w:sz="8" w:color="2C2C2C"/>
            </w:tcBorders>
            <w:gridSpan w:val="3"/>
          </w:tcPr>
          <w:p>
            <w:pPr>
              <w:jc w:val="right"/>
              <w:ind w:right="96"/>
              <w:spacing w:after="0"/>
              <w:rPr>
                <w:sz w:val="20"/>
                <w:szCs w:val="20"/>
                <w:color w:val="auto"/>
              </w:rPr>
            </w:pPr>
            <w:r>
              <w:rPr>
                <w:rFonts w:ascii="Arial" w:cs="Arial" w:eastAsia="Arial" w:hAnsi="Arial"/>
                <w:sz w:val="17"/>
                <w:szCs w:val="17"/>
                <w:color w:val="0000FF"/>
                <w:w w:val="98"/>
              </w:rPr>
              <w:t>02/24/2021</w:t>
            </w: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781</w:t>
            </w:r>
            <w:r>
              <w:rPr>
                <w:rFonts w:ascii="Arial" w:cs="Arial" w:eastAsia="Arial" w:hAnsi="Arial"/>
                <w:sz w:val="21"/>
                <w:szCs w:val="21"/>
                <w:color w:val="008000"/>
                <w:vertAlign w:val="superscript"/>
              </w:rPr>
              <w:t>(2)</w:t>
            </w:r>
          </w:p>
        </w:tc>
        <w:tc>
          <w:tcPr>
            <w:tcW w:w="1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w w:val="87"/>
              </w:rPr>
              <w:t>A</w:t>
            </w: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9,001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4"/>
              </w:rPr>
              <w:t>21,823</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Executive Retirement RSU</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4"/>
              </w:rPr>
              <w:t>17,000</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360" w:type="dxa"/>
            <w:vAlign w:val="bottom"/>
            <w:tcBorders>
              <w:bottom w:val="single" w:sz="8" w:color="2C2C2C"/>
            </w:tcBorders>
            <w:gridSpan w:val="6"/>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60" w:type="dxa"/>
            <w:vAlign w:val="bottom"/>
            <w:gridSpan w:val="6"/>
          </w:tcPr>
          <w:p>
            <w:pPr>
              <w:ind w:left="60"/>
              <w:spacing w:after="0"/>
              <w:rPr>
                <w:sz w:val="20"/>
                <w:szCs w:val="20"/>
                <w:color w:val="auto"/>
              </w:rPr>
            </w:pPr>
            <w:r>
              <w:rPr>
                <w:rFonts w:ascii="Arial" w:cs="Arial" w:eastAsia="Arial" w:hAnsi="Arial"/>
                <w:sz w:val="17"/>
                <w:szCs w:val="17"/>
                <w:color w:val="0000FF"/>
              </w:rPr>
              <w:t>Performance Stock Unit (March 2019)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4"/>
              </w:rPr>
              <w:t>11,725</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360" w:type="dxa"/>
            <w:vAlign w:val="bottom"/>
            <w:tcBorders>
              <w:bottom w:val="single" w:sz="8" w:color="2C2C2C"/>
            </w:tcBorders>
            <w:gridSpan w:val="6"/>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60" w:type="dxa"/>
            <w:vAlign w:val="bottom"/>
            <w:gridSpan w:val="6"/>
          </w:tcPr>
          <w:p>
            <w:pPr>
              <w:ind w:left="60"/>
              <w:spacing w:after="0"/>
              <w:rPr>
                <w:sz w:val="20"/>
                <w:szCs w:val="20"/>
                <w:color w:val="auto"/>
              </w:rPr>
            </w:pPr>
            <w:r>
              <w:rPr>
                <w:rFonts w:ascii="Arial" w:cs="Arial" w:eastAsia="Arial" w:hAnsi="Arial"/>
                <w:sz w:val="17"/>
                <w:szCs w:val="17"/>
                <w:color w:val="0000FF"/>
              </w:rPr>
              <w:t>Performance Stock Units (March 2018)</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4"/>
              </w:rPr>
              <w:t>11,168</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360" w:type="dxa"/>
            <w:vAlign w:val="bottom"/>
            <w:tcBorders>
              <w:bottom w:val="single" w:sz="8" w:color="2C2C2C"/>
            </w:tcBorders>
            <w:gridSpan w:val="6"/>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60" w:type="dxa"/>
            <w:vAlign w:val="bottom"/>
            <w:gridSpan w:val="6"/>
          </w:tcPr>
          <w:p>
            <w:pPr>
              <w:ind w:left="60"/>
              <w:spacing w:after="0"/>
              <w:rPr>
                <w:sz w:val="20"/>
                <w:szCs w:val="20"/>
                <w:color w:val="auto"/>
              </w:rPr>
            </w:pPr>
            <w:r>
              <w:rPr>
                <w:rFonts w:ascii="Arial" w:cs="Arial" w:eastAsia="Arial" w:hAnsi="Arial"/>
                <w:sz w:val="17"/>
                <w:szCs w:val="17"/>
                <w:color w:val="0000FF"/>
              </w:rPr>
              <w:t>Restricted Stock Unit (LTIP 04/03/2017)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4"/>
              </w:rPr>
              <w:t>669</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360" w:type="dxa"/>
            <w:vAlign w:val="bottom"/>
            <w:tcBorders>
              <w:bottom w:val="single" w:sz="8" w:color="2C2C2C"/>
            </w:tcBorders>
            <w:gridSpan w:val="6"/>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60" w:type="dxa"/>
            <w:vAlign w:val="bottom"/>
            <w:gridSpan w:val="6"/>
          </w:tcPr>
          <w:p>
            <w:pPr>
              <w:ind w:left="60"/>
              <w:spacing w:after="0"/>
              <w:rPr>
                <w:sz w:val="20"/>
                <w:szCs w:val="20"/>
                <w:color w:val="auto"/>
              </w:rPr>
            </w:pPr>
            <w:r>
              <w:rPr>
                <w:rFonts w:ascii="Arial" w:cs="Arial" w:eastAsia="Arial" w:hAnsi="Arial"/>
                <w:sz w:val="17"/>
                <w:szCs w:val="17"/>
                <w:color w:val="0000FF"/>
              </w:rPr>
              <w:t>Restricted Stock Unit (LTIP 3/1/2018)</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4"/>
              </w:rPr>
              <w:t>2,632</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360" w:type="dxa"/>
            <w:vAlign w:val="bottom"/>
            <w:tcBorders>
              <w:bottom w:val="single" w:sz="8" w:color="2C2C2C"/>
            </w:tcBorders>
            <w:gridSpan w:val="6"/>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60" w:type="dxa"/>
            <w:vAlign w:val="bottom"/>
            <w:gridSpan w:val="6"/>
          </w:tcPr>
          <w:p>
            <w:pPr>
              <w:ind w:left="60"/>
              <w:spacing w:after="0"/>
              <w:rPr>
                <w:sz w:val="20"/>
                <w:szCs w:val="20"/>
                <w:color w:val="auto"/>
              </w:rPr>
            </w:pPr>
            <w:r>
              <w:rPr>
                <w:rFonts w:ascii="Arial" w:cs="Arial" w:eastAsia="Arial" w:hAnsi="Arial"/>
                <w:sz w:val="17"/>
                <w:szCs w:val="17"/>
                <w:color w:val="0000FF"/>
              </w:rPr>
              <w:t>Restricted Stock Unit (LTIP 3/1/2019)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4"/>
              </w:rPr>
              <w:t>3,412</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360" w:type="dxa"/>
            <w:vAlign w:val="bottom"/>
            <w:tcBorders>
              <w:bottom w:val="single" w:sz="8" w:color="2C2C2C"/>
            </w:tcBorders>
            <w:gridSpan w:val="6"/>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60" w:type="dxa"/>
            <w:vAlign w:val="bottom"/>
            <w:gridSpan w:val="6"/>
          </w:tcPr>
          <w:p>
            <w:pPr>
              <w:ind w:left="60"/>
              <w:spacing w:after="0"/>
              <w:rPr>
                <w:sz w:val="20"/>
                <w:szCs w:val="20"/>
                <w:color w:val="auto"/>
              </w:rPr>
            </w:pPr>
            <w:r>
              <w:rPr>
                <w:rFonts w:ascii="Arial" w:cs="Arial" w:eastAsia="Arial" w:hAnsi="Arial"/>
                <w:sz w:val="17"/>
                <w:szCs w:val="17"/>
                <w:color w:val="0000FF"/>
              </w:rPr>
              <w:t>Restricted Stock Unit (LTIP 3/2/2020)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4"/>
              </w:rPr>
              <w:t>3,699</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360" w:type="dxa"/>
            <w:vAlign w:val="bottom"/>
            <w:tcBorders>
              <w:bottom w:val="single" w:sz="8" w:color="2C2C2C"/>
            </w:tcBorders>
            <w:gridSpan w:val="6"/>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60" w:type="dxa"/>
            <w:vAlign w:val="bottom"/>
            <w:gridSpan w:val="6"/>
          </w:tcPr>
          <w:p>
            <w:pPr>
              <w:ind w:left="60"/>
              <w:spacing w:after="0"/>
              <w:rPr>
                <w:sz w:val="20"/>
                <w:szCs w:val="20"/>
                <w:color w:val="auto"/>
              </w:rPr>
            </w:pPr>
            <w:r>
              <w:rPr>
                <w:rFonts w:ascii="Arial" w:cs="Arial" w:eastAsia="Arial" w:hAnsi="Arial"/>
                <w:sz w:val="17"/>
                <w:szCs w:val="17"/>
                <w:color w:val="0000FF"/>
                <w:w w:val="94"/>
              </w:rPr>
              <w:t>Special Performance Stock Unit (March 2020)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4"/>
              </w:rPr>
              <w:t>9,000</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7"/>
          </w:tcPr>
          <w:p>
            <w:pPr>
              <w:spacing w:after="0"/>
              <w:rPr>
                <w:sz w:val="8"/>
                <w:szCs w:val="8"/>
                <w:color w:val="auto"/>
              </w:rPr>
            </w:pPr>
          </w:p>
        </w:tc>
        <w:tc>
          <w:tcPr>
            <w:tcW w:w="2560" w:type="dxa"/>
            <w:vAlign w:val="bottom"/>
            <w:tcBorders>
              <w:bottom w:val="single" w:sz="8" w:color="2C2C2C"/>
            </w:tcBorders>
            <w:gridSpan w:val="8"/>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5"/>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86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6"/>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460" w:type="dxa"/>
            <w:vAlign w:val="bottom"/>
          </w:tcPr>
          <w:p>
            <w:pPr>
              <w:spacing w:after="0"/>
              <w:rPr>
                <w:sz w:val="11"/>
                <w:szCs w:val="11"/>
                <w:color w:val="auto"/>
              </w:rPr>
            </w:pPr>
          </w:p>
        </w:tc>
        <w:tc>
          <w:tcPr>
            <w:tcW w:w="1420" w:type="dxa"/>
            <w:vAlign w:val="bottom"/>
            <w:gridSpan w:val="6"/>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6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spacing w:after="0"/>
              <w:rPr>
                <w:sz w:val="11"/>
                <w:szCs w:val="11"/>
                <w:color w:val="auto"/>
              </w:rPr>
            </w:pPr>
          </w:p>
        </w:tc>
        <w:tc>
          <w:tcPr>
            <w:tcW w:w="1420" w:type="dxa"/>
            <w:vAlign w:val="bottom"/>
            <w:gridSpan w:val="6"/>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6"/>
          </w:tcPr>
          <w:p>
            <w:pPr>
              <w:ind w:left="6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ind w:left="10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4"/>
          </w:tcPr>
          <w:p>
            <w:pPr>
              <w:ind w:left="10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3"/>
                <w:szCs w:val="13"/>
                <w:color w:val="auto"/>
              </w:rPr>
            </w:pPr>
          </w:p>
        </w:tc>
        <w:tc>
          <w:tcPr>
            <w:tcW w:w="860" w:type="dxa"/>
            <w:vAlign w:val="bottom"/>
            <w:gridSpan w:val="4"/>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3"/>
                <w:szCs w:val="13"/>
                <w:color w:val="0000FF"/>
                <w:w w:val="90"/>
              </w:rPr>
              <w:t>Common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center"/>
              <w:ind w:right="128"/>
              <w:spacing w:after="0"/>
              <w:rPr>
                <w:sz w:val="20"/>
                <w:szCs w:val="20"/>
                <w:color w:val="auto"/>
              </w:rPr>
            </w:pPr>
            <w:r>
              <w:rPr>
                <w:rFonts w:ascii="Arial" w:cs="Arial" w:eastAsia="Arial" w:hAnsi="Arial"/>
                <w:sz w:val="17"/>
                <w:szCs w:val="17"/>
                <w:color w:val="0000FF"/>
                <w:w w:val="84"/>
              </w:rPr>
              <w:t>5,000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36" w:lineRule="exact"/>
              <w:rPr>
                <w:sz w:val="20"/>
                <w:szCs w:val="20"/>
                <w:color w:val="auto"/>
              </w:rPr>
            </w:pPr>
            <w:r>
              <w:rPr>
                <w:rFonts w:ascii="Arial" w:cs="Arial" w:eastAsia="Arial" w:hAnsi="Arial"/>
                <w:sz w:val="13"/>
                <w:szCs w:val="13"/>
                <w:color w:val="0000FF"/>
              </w:rPr>
              <w:t>(April</w:t>
            </w:r>
          </w:p>
        </w:tc>
        <w:tc>
          <w:tcPr>
            <w:tcW w:w="600" w:type="dxa"/>
            <w:vAlign w:val="bottom"/>
            <w:vMerge w:val="restart"/>
          </w:tcPr>
          <w:p>
            <w:pPr>
              <w:jc w:val="center"/>
              <w:ind w:left="145"/>
              <w:spacing w:after="0" w:line="136" w:lineRule="exact"/>
              <w:rPr>
                <w:sz w:val="20"/>
                <w:szCs w:val="20"/>
                <w:color w:val="auto"/>
              </w:rPr>
            </w:pPr>
            <w:r>
              <w:rPr>
                <w:rFonts w:ascii="Arial" w:cs="Arial" w:eastAsia="Arial" w:hAnsi="Arial"/>
                <w:sz w:val="11"/>
                <w:szCs w:val="11"/>
                <w:color w:val="auto"/>
                <w:w w:val="99"/>
              </w:rPr>
              <w:t>$</w:t>
            </w:r>
            <w:r>
              <w:rPr>
                <w:rFonts w:ascii="Arial" w:cs="Arial" w:eastAsia="Arial" w:hAnsi="Arial"/>
                <w:sz w:val="12"/>
                <w:szCs w:val="12"/>
                <w:color w:val="0000FF"/>
                <w:w w:val="99"/>
              </w:rPr>
              <w:t>39.55</w:t>
            </w: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gridSpan w:val="3"/>
            <w:vMerge w:val="restart"/>
          </w:tcPr>
          <w:p>
            <w:pPr>
              <w:jc w:val="center"/>
              <w:spacing w:after="0" w:line="136" w:lineRule="exact"/>
              <w:rPr>
                <w:sz w:val="20"/>
                <w:szCs w:val="20"/>
                <w:color w:val="auto"/>
              </w:rPr>
            </w:pPr>
            <w:r>
              <w:rPr>
                <w:rFonts w:ascii="Arial" w:cs="Arial" w:eastAsia="Arial" w:hAnsi="Arial"/>
                <w:sz w:val="13"/>
                <w:szCs w:val="13"/>
                <w:color w:val="0000FF"/>
                <w:w w:val="89"/>
              </w:rPr>
              <w:t>04/03/2020</w:t>
            </w:r>
          </w:p>
        </w:tc>
        <w:tc>
          <w:tcPr>
            <w:tcW w:w="720" w:type="dxa"/>
            <w:vAlign w:val="bottom"/>
            <w:gridSpan w:val="2"/>
            <w:vMerge w:val="restart"/>
          </w:tcPr>
          <w:p>
            <w:pPr>
              <w:jc w:val="center"/>
              <w:spacing w:after="0" w:line="136" w:lineRule="exact"/>
              <w:rPr>
                <w:sz w:val="20"/>
                <w:szCs w:val="20"/>
                <w:color w:val="auto"/>
              </w:rPr>
            </w:pPr>
            <w:r>
              <w:rPr>
                <w:rFonts w:ascii="Arial" w:cs="Arial" w:eastAsia="Arial" w:hAnsi="Arial"/>
                <w:sz w:val="13"/>
                <w:szCs w:val="13"/>
                <w:color w:val="0000FF"/>
                <w:w w:val="89"/>
              </w:rPr>
              <w:t>04/03/2027</w:t>
            </w:r>
          </w:p>
        </w:tc>
        <w:tc>
          <w:tcPr>
            <w:tcW w:w="5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vMerge w:val="restart"/>
          </w:tcPr>
          <w:p>
            <w:pPr>
              <w:jc w:val="center"/>
              <w:ind w:left="180"/>
              <w:spacing w:after="0" w:line="136" w:lineRule="exact"/>
              <w:rPr>
                <w:sz w:val="20"/>
                <w:szCs w:val="20"/>
                <w:color w:val="auto"/>
              </w:rPr>
            </w:pPr>
            <w:r>
              <w:rPr>
                <w:rFonts w:ascii="Arial" w:cs="Arial" w:eastAsia="Arial" w:hAnsi="Arial"/>
                <w:sz w:val="13"/>
                <w:szCs w:val="13"/>
                <w:color w:val="0000FF"/>
                <w:w w:val="85"/>
              </w:rPr>
              <w:t>5,000</w:t>
            </w:r>
          </w:p>
        </w:tc>
        <w:tc>
          <w:tcPr>
            <w:tcW w:w="300" w:type="dxa"/>
            <w:vAlign w:val="bottom"/>
          </w:tcPr>
          <w:p>
            <w:pPr>
              <w:spacing w:after="0"/>
              <w:rPr>
                <w:sz w:val="6"/>
                <w:szCs w:val="6"/>
                <w:color w:val="auto"/>
              </w:rPr>
            </w:pPr>
          </w:p>
        </w:tc>
        <w:tc>
          <w:tcPr>
            <w:tcW w:w="640" w:type="dxa"/>
            <w:vAlign w:val="bottom"/>
            <w:vMerge w:val="restart"/>
          </w:tcPr>
          <w:p>
            <w:pPr>
              <w:ind w:left="32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w w:val="85"/>
              </w:rPr>
              <w:t>Stock</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20" w:type="dxa"/>
            <w:vAlign w:val="bottom"/>
            <w:gridSpan w:val="3"/>
            <w:vMerge w:val="restart"/>
          </w:tcPr>
          <w:p>
            <w:pPr>
              <w:ind w:left="80"/>
              <w:spacing w:after="0" w:line="229" w:lineRule="exact"/>
              <w:rPr>
                <w:sz w:val="20"/>
                <w:szCs w:val="20"/>
                <w:color w:val="auto"/>
              </w:rPr>
            </w:pPr>
            <w:r>
              <w:rPr>
                <w:rFonts w:ascii="Arial" w:cs="Arial" w:eastAsia="Arial" w:hAnsi="Arial"/>
                <w:sz w:val="13"/>
                <w:szCs w:val="13"/>
                <w:color w:val="0000FF"/>
              </w:rPr>
              <w:t>2017)</w:t>
            </w:r>
            <w:r>
              <w:rPr>
                <w:rFonts w:ascii="Arial" w:cs="Arial" w:eastAsia="Arial" w:hAnsi="Arial"/>
                <w:sz w:val="21"/>
                <w:szCs w:val="21"/>
                <w:color w:val="008000"/>
                <w:vertAlign w:val="superscript"/>
              </w:rPr>
              <w:t>(3)</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72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0000FF"/>
              </w:rPr>
              <w:t>Restricted</w:t>
            </w:r>
          </w:p>
        </w:tc>
        <w:tc>
          <w:tcPr>
            <w:tcW w:w="600" w:type="dxa"/>
            <w:vAlign w:val="bottom"/>
            <w:tcBorders>
              <w:top w:val="single" w:sz="8" w:color="2C2C2C"/>
            </w:tcBorders>
          </w:tcPr>
          <w:p>
            <w:pPr>
              <w:spacing w:after="0"/>
              <w:rPr>
                <w:sz w:val="15"/>
                <w:szCs w:val="15"/>
                <w:color w:val="auto"/>
              </w:rPr>
            </w:pPr>
          </w:p>
        </w:tc>
        <w:tc>
          <w:tcPr>
            <w:tcW w:w="180" w:type="dxa"/>
            <w:vAlign w:val="bottom"/>
            <w:tcBorders>
              <w:top w:val="single" w:sz="8" w:color="2C2C2C"/>
            </w:tcBorders>
          </w:tcPr>
          <w:p>
            <w:pPr>
              <w:spacing w:after="0"/>
              <w:rPr>
                <w:sz w:val="15"/>
                <w:szCs w:val="15"/>
                <w:color w:val="auto"/>
              </w:rPr>
            </w:pPr>
          </w:p>
        </w:tc>
        <w:tc>
          <w:tcPr>
            <w:tcW w:w="1020" w:type="dxa"/>
            <w:vAlign w:val="bottom"/>
            <w:tcBorders>
              <w:top w:val="single" w:sz="8" w:color="2C2C2C"/>
            </w:tcBorders>
          </w:tcPr>
          <w:p>
            <w:pPr>
              <w:spacing w:after="0"/>
              <w:rPr>
                <w:sz w:val="15"/>
                <w:szCs w:val="15"/>
                <w:color w:val="auto"/>
              </w:rPr>
            </w:pPr>
          </w:p>
        </w:tc>
        <w:tc>
          <w:tcPr>
            <w:tcW w:w="860" w:type="dxa"/>
            <w:vAlign w:val="bottom"/>
            <w:tcBorders>
              <w:top w:val="single" w:sz="8" w:color="2C2C2C"/>
            </w:tcBorders>
          </w:tcPr>
          <w:p>
            <w:pPr>
              <w:spacing w:after="0"/>
              <w:rPr>
                <w:sz w:val="15"/>
                <w:szCs w:val="15"/>
                <w:color w:val="auto"/>
              </w:rPr>
            </w:pPr>
          </w:p>
        </w:tc>
        <w:tc>
          <w:tcPr>
            <w:tcW w:w="260" w:type="dxa"/>
            <w:vAlign w:val="bottom"/>
            <w:tcBorders>
              <w:top w:val="single" w:sz="8" w:color="2C2C2C"/>
            </w:tcBorders>
          </w:tcPr>
          <w:p>
            <w:pPr>
              <w:spacing w:after="0"/>
              <w:rPr>
                <w:sz w:val="15"/>
                <w:szCs w:val="15"/>
                <w:color w:val="auto"/>
              </w:rPr>
            </w:pPr>
          </w:p>
        </w:tc>
        <w:tc>
          <w:tcPr>
            <w:tcW w:w="12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260" w:type="dxa"/>
            <w:vAlign w:val="bottom"/>
            <w:tcBorders>
              <w:top w:val="single" w:sz="8" w:color="2C2C2C"/>
            </w:tcBorders>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440" w:type="dxa"/>
            <w:vAlign w:val="bottom"/>
            <w:tcBorders>
              <w:top w:val="single" w:sz="8" w:color="2C2C2C"/>
            </w:tcBorders>
          </w:tcPr>
          <w:p>
            <w:pPr>
              <w:spacing w:after="0"/>
              <w:rPr>
                <w:sz w:val="15"/>
                <w:szCs w:val="15"/>
                <w:color w:val="auto"/>
              </w:rPr>
            </w:pPr>
          </w:p>
        </w:tc>
        <w:tc>
          <w:tcPr>
            <w:tcW w:w="260" w:type="dxa"/>
            <w:vAlign w:val="bottom"/>
            <w:tcBorders>
              <w:top w:val="single" w:sz="8" w:color="2C2C2C"/>
            </w:tcBorders>
          </w:tcPr>
          <w:p>
            <w:pPr>
              <w:spacing w:after="0"/>
              <w:rPr>
                <w:sz w:val="15"/>
                <w:szCs w:val="15"/>
                <w:color w:val="auto"/>
              </w:rPr>
            </w:pPr>
          </w:p>
        </w:tc>
        <w:tc>
          <w:tcPr>
            <w:tcW w:w="460" w:type="dxa"/>
            <w:vAlign w:val="bottom"/>
            <w:tcBorders>
              <w:top w:val="single" w:sz="8" w:color="2C2C2C"/>
            </w:tcBorders>
          </w:tcPr>
          <w:p>
            <w:pPr>
              <w:spacing w:after="0"/>
              <w:rPr>
                <w:sz w:val="15"/>
                <w:szCs w:val="15"/>
                <w:color w:val="auto"/>
              </w:rPr>
            </w:pPr>
          </w:p>
        </w:tc>
        <w:tc>
          <w:tcPr>
            <w:tcW w:w="460" w:type="dxa"/>
            <w:vAlign w:val="bottom"/>
            <w:tcBorders>
              <w:top w:val="single" w:sz="8" w:color="2C2C2C"/>
            </w:tcBorders>
          </w:tcPr>
          <w:p>
            <w:pPr>
              <w:spacing w:after="0"/>
              <w:rPr>
                <w:sz w:val="15"/>
                <w:szCs w:val="15"/>
                <w:color w:val="auto"/>
              </w:rPr>
            </w:pPr>
          </w:p>
        </w:tc>
        <w:tc>
          <w:tcPr>
            <w:tcW w:w="100" w:type="dxa"/>
            <w:vAlign w:val="bottom"/>
            <w:tcBorders>
              <w:top w:val="single" w:sz="8" w:color="2C2C2C"/>
            </w:tcBorders>
          </w:tcPr>
          <w:p>
            <w:pPr>
              <w:spacing w:after="0"/>
              <w:rPr>
                <w:sz w:val="15"/>
                <w:szCs w:val="15"/>
                <w:color w:val="auto"/>
              </w:rPr>
            </w:pPr>
          </w:p>
        </w:tc>
        <w:tc>
          <w:tcPr>
            <w:tcW w:w="160" w:type="dxa"/>
            <w:vAlign w:val="bottom"/>
            <w:tcBorders>
              <w:top w:val="single" w:sz="8" w:color="2C2C2C"/>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600" w:type="dxa"/>
            <w:vAlign w:val="bottom"/>
            <w:tcBorders>
              <w:top w:val="single" w:sz="8" w:color="2C2C2C"/>
            </w:tcBorders>
          </w:tcPr>
          <w:p>
            <w:pPr>
              <w:spacing w:after="0"/>
              <w:rPr>
                <w:sz w:val="15"/>
                <w:szCs w:val="15"/>
                <w:color w:val="auto"/>
              </w:rPr>
            </w:pPr>
          </w:p>
        </w:tc>
        <w:tc>
          <w:tcPr>
            <w:tcW w:w="20" w:type="dxa"/>
            <w:vAlign w:val="bottom"/>
            <w:tcBorders>
              <w:top w:val="single" w:sz="8" w:color="2C2C2C"/>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56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2C2C2C"/>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 Unit</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3"/>
                <w:szCs w:val="13"/>
                <w:color w:val="0000FF"/>
                <w:w w:val="90"/>
              </w:rPr>
              <w:t>Common</w:t>
            </w:r>
          </w:p>
        </w:tc>
        <w:tc>
          <w:tcPr>
            <w:tcW w:w="160" w:type="dxa"/>
            <w:vAlign w:val="bottom"/>
          </w:tcPr>
          <w:p>
            <w:pPr>
              <w:spacing w:after="0"/>
              <w:rPr>
                <w:sz w:val="12"/>
                <w:szCs w:val="12"/>
                <w:color w:val="auto"/>
              </w:rPr>
            </w:pPr>
          </w:p>
        </w:tc>
        <w:tc>
          <w:tcPr>
            <w:tcW w:w="680" w:type="dxa"/>
            <w:vAlign w:val="bottom"/>
            <w:gridSpan w:val="2"/>
            <w:vMerge w:val="restart"/>
          </w:tcPr>
          <w:p>
            <w:pPr>
              <w:jc w:val="center"/>
              <w:ind w:right="48"/>
              <w:spacing w:after="0"/>
              <w:rPr>
                <w:sz w:val="20"/>
                <w:szCs w:val="20"/>
                <w:color w:val="auto"/>
              </w:rPr>
            </w:pPr>
            <w:r>
              <w:rPr>
                <w:rFonts w:ascii="Arial" w:cs="Arial" w:eastAsia="Arial" w:hAnsi="Arial"/>
                <w:sz w:val="17"/>
                <w:szCs w:val="17"/>
                <w:color w:val="0000FF"/>
                <w:w w:val="84"/>
              </w:rPr>
              <w:t>5,465.86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720" w:type="dxa"/>
            <w:vAlign w:val="bottom"/>
            <w:gridSpan w:val="3"/>
            <w:vMerge w:val="restart"/>
          </w:tcPr>
          <w:p>
            <w:pPr>
              <w:ind w:left="80"/>
              <w:spacing w:after="0" w:line="140" w:lineRule="exact"/>
              <w:rPr>
                <w:sz w:val="20"/>
                <w:szCs w:val="20"/>
                <w:color w:val="auto"/>
              </w:rPr>
            </w:pPr>
            <w:r>
              <w:rPr>
                <w:rFonts w:ascii="Arial" w:cs="Arial" w:eastAsia="Arial" w:hAnsi="Arial"/>
                <w:sz w:val="13"/>
                <w:szCs w:val="13"/>
                <w:color w:val="0000FF"/>
              </w:rPr>
              <w:t>(2018</w:t>
            </w:r>
          </w:p>
        </w:tc>
        <w:tc>
          <w:tcPr>
            <w:tcW w:w="600" w:type="dxa"/>
            <w:vAlign w:val="bottom"/>
            <w:vMerge w:val="restart"/>
          </w:tcPr>
          <w:p>
            <w:pPr>
              <w:jc w:val="center"/>
              <w:ind w:left="145"/>
              <w:spacing w:after="0"/>
              <w:rPr>
                <w:sz w:val="20"/>
                <w:szCs w:val="20"/>
                <w:color w:val="auto"/>
              </w:rPr>
            </w:pPr>
            <w:r>
              <w:rPr>
                <w:rFonts w:ascii="Arial" w:cs="Arial" w:eastAsia="Arial" w:hAnsi="Arial"/>
                <w:sz w:val="11"/>
                <w:szCs w:val="11"/>
                <w:color w:val="008000"/>
                <w:w w:val="88"/>
              </w:rPr>
              <w:t>(5)</w:t>
            </w: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gridSpan w:val="2"/>
            <w:vMerge w:val="restart"/>
          </w:tcPr>
          <w:p>
            <w:pPr>
              <w:jc w:val="center"/>
              <w:ind w:right="201"/>
              <w:spacing w:after="0"/>
              <w:rPr>
                <w:sz w:val="20"/>
                <w:szCs w:val="20"/>
                <w:color w:val="auto"/>
              </w:rPr>
            </w:pPr>
            <w:r>
              <w:rPr>
                <w:rFonts w:ascii="Arial" w:cs="Arial" w:eastAsia="Arial" w:hAnsi="Arial"/>
                <w:sz w:val="11"/>
                <w:szCs w:val="11"/>
                <w:color w:val="008000"/>
                <w:w w:val="88"/>
              </w:rPr>
              <w:t>(5)</w:t>
            </w:r>
          </w:p>
        </w:tc>
        <w:tc>
          <w:tcPr>
            <w:tcW w:w="260" w:type="dxa"/>
            <w:vAlign w:val="bottom"/>
          </w:tcPr>
          <w:p>
            <w:pPr>
              <w:spacing w:after="0"/>
              <w:rPr>
                <w:sz w:val="6"/>
                <w:szCs w:val="6"/>
                <w:color w:val="auto"/>
              </w:rPr>
            </w:pPr>
          </w:p>
        </w:tc>
        <w:tc>
          <w:tcPr>
            <w:tcW w:w="460" w:type="dxa"/>
            <w:vAlign w:val="bottom"/>
            <w:vMerge w:val="restart"/>
          </w:tcPr>
          <w:p>
            <w:pPr>
              <w:jc w:val="center"/>
              <w:ind w:right="202"/>
              <w:spacing w:after="0"/>
              <w:rPr>
                <w:sz w:val="20"/>
                <w:szCs w:val="20"/>
                <w:color w:val="auto"/>
              </w:rPr>
            </w:pPr>
            <w:r>
              <w:rPr>
                <w:rFonts w:ascii="Arial" w:cs="Arial" w:eastAsia="Arial" w:hAnsi="Arial"/>
                <w:sz w:val="11"/>
                <w:szCs w:val="11"/>
                <w:color w:val="008000"/>
                <w:w w:val="88"/>
              </w:rPr>
              <w:t>(5)</w:t>
            </w:r>
          </w:p>
        </w:tc>
        <w:tc>
          <w:tcPr>
            <w:tcW w:w="5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jc w:val="center"/>
              <w:ind w:right="3"/>
              <w:spacing w:after="0" w:line="140" w:lineRule="exact"/>
              <w:rPr>
                <w:sz w:val="20"/>
                <w:szCs w:val="20"/>
                <w:color w:val="auto"/>
              </w:rPr>
            </w:pPr>
            <w:r>
              <w:rPr>
                <w:rFonts w:ascii="Arial" w:cs="Arial" w:eastAsia="Arial" w:hAnsi="Arial"/>
                <w:sz w:val="13"/>
                <w:szCs w:val="13"/>
                <w:color w:val="0000FF"/>
                <w:w w:val="86"/>
              </w:rPr>
              <w:t>5,465.86</w:t>
            </w:r>
          </w:p>
        </w:tc>
        <w:tc>
          <w:tcPr>
            <w:tcW w:w="64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72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w w:val="85"/>
              </w:rPr>
              <w:t>Stock</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136" w:lineRule="exact"/>
              <w:rPr>
                <w:sz w:val="20"/>
                <w:szCs w:val="20"/>
                <w:color w:val="auto"/>
              </w:rPr>
            </w:pPr>
            <w:r>
              <w:rPr>
                <w:rFonts w:ascii="Arial" w:cs="Arial" w:eastAsia="Arial" w:hAnsi="Arial"/>
                <w:sz w:val="13"/>
                <w:szCs w:val="13"/>
                <w:color w:val="0000FF"/>
              </w:rPr>
              <w:t>MSPP</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Borders>
              <w:bottom w:val="single" w:sz="8" w:color="2C2C2C"/>
            </w:tcBorders>
            <w:gridSpan w:val="2"/>
          </w:tcPr>
          <w:p>
            <w:pPr>
              <w:ind w:left="60"/>
              <w:spacing w:after="0" w:line="230" w:lineRule="exact"/>
              <w:rPr>
                <w:sz w:val="20"/>
                <w:szCs w:val="20"/>
                <w:color w:val="auto"/>
              </w:rPr>
            </w:pPr>
            <w:r>
              <w:rPr>
                <w:rFonts w:ascii="Arial" w:cs="Arial" w:eastAsia="Arial" w:hAnsi="Arial"/>
                <w:sz w:val="13"/>
                <w:szCs w:val="13"/>
                <w:color w:val="0000FF"/>
              </w:rPr>
              <w:t>Match)</w:t>
            </w:r>
            <w:r>
              <w:rPr>
                <w:rFonts w:ascii="Arial" w:cs="Arial" w:eastAsia="Arial" w:hAnsi="Arial"/>
                <w:sz w:val="21"/>
                <w:szCs w:val="21"/>
                <w:color w:val="008000"/>
                <w:vertAlign w:val="superscript"/>
              </w:rPr>
              <w:t>(4)</w:t>
            </w:r>
          </w:p>
        </w:tc>
        <w:tc>
          <w:tcPr>
            <w:tcW w:w="60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 Unit</w:t>
            </w:r>
          </w:p>
        </w:tc>
        <w:tc>
          <w:tcPr>
            <w:tcW w:w="600" w:type="dxa"/>
            <w:vAlign w:val="bottom"/>
          </w:tcPr>
          <w:p>
            <w:pPr>
              <w:jc w:val="center"/>
              <w:ind w:left="145"/>
              <w:spacing w:after="0"/>
              <w:rPr>
                <w:sz w:val="20"/>
                <w:szCs w:val="20"/>
                <w:color w:val="auto"/>
              </w:rPr>
            </w:pPr>
            <w:r>
              <w:rPr>
                <w:rFonts w:ascii="Arial" w:cs="Arial" w:eastAsia="Arial" w:hAnsi="Arial"/>
                <w:sz w:val="11"/>
                <w:szCs w:val="11"/>
                <w:color w:val="008000"/>
                <w:w w:val="88"/>
              </w:rPr>
              <w:t>(7)</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center"/>
              <w:ind w:right="201"/>
              <w:spacing w:after="0"/>
              <w:rPr>
                <w:sz w:val="20"/>
                <w:szCs w:val="20"/>
                <w:color w:val="auto"/>
              </w:rPr>
            </w:pPr>
            <w:r>
              <w:rPr>
                <w:rFonts w:ascii="Arial" w:cs="Arial" w:eastAsia="Arial" w:hAnsi="Arial"/>
                <w:sz w:val="11"/>
                <w:szCs w:val="11"/>
                <w:color w:val="008000"/>
                <w:w w:val="88"/>
              </w:rPr>
              <w:t>(7)</w:t>
            </w:r>
          </w:p>
        </w:tc>
        <w:tc>
          <w:tcPr>
            <w:tcW w:w="260" w:type="dxa"/>
            <w:vAlign w:val="bottom"/>
          </w:tcPr>
          <w:p>
            <w:pPr>
              <w:spacing w:after="0"/>
              <w:rPr>
                <w:sz w:val="18"/>
                <w:szCs w:val="18"/>
                <w:color w:val="auto"/>
              </w:rPr>
            </w:pPr>
          </w:p>
        </w:tc>
        <w:tc>
          <w:tcPr>
            <w:tcW w:w="460" w:type="dxa"/>
            <w:vAlign w:val="bottom"/>
          </w:tcPr>
          <w:p>
            <w:pPr>
              <w:jc w:val="center"/>
              <w:ind w:right="202"/>
              <w:spacing w:after="0"/>
              <w:rPr>
                <w:sz w:val="20"/>
                <w:szCs w:val="20"/>
                <w:color w:val="auto"/>
              </w:rPr>
            </w:pPr>
            <w:r>
              <w:rPr>
                <w:rFonts w:ascii="Arial" w:cs="Arial" w:eastAsia="Arial" w:hAnsi="Arial"/>
                <w:sz w:val="11"/>
                <w:szCs w:val="11"/>
                <w:color w:val="008000"/>
                <w:w w:val="88"/>
              </w:rPr>
              <w:t>(7)</w:t>
            </w:r>
          </w:p>
        </w:tc>
        <w:tc>
          <w:tcPr>
            <w:tcW w:w="560" w:type="dxa"/>
            <w:vAlign w:val="bottom"/>
            <w:gridSpan w:val="2"/>
          </w:tcPr>
          <w:p>
            <w:pPr>
              <w:ind w:left="60"/>
              <w:spacing w:after="0"/>
              <w:rPr>
                <w:sz w:val="20"/>
                <w:szCs w:val="20"/>
                <w:color w:val="auto"/>
              </w:rPr>
            </w:pPr>
            <w:r>
              <w:rPr>
                <w:rFonts w:ascii="Arial" w:cs="Arial" w:eastAsia="Arial" w:hAnsi="Arial"/>
                <w:sz w:val="13"/>
                <w:szCs w:val="13"/>
                <w:color w:val="0000FF"/>
                <w:w w:val="90"/>
              </w:rPr>
              <w:t>Common</w:t>
            </w:r>
          </w:p>
        </w:tc>
        <w:tc>
          <w:tcPr>
            <w:tcW w:w="840" w:type="dxa"/>
            <w:vAlign w:val="bottom"/>
            <w:gridSpan w:val="3"/>
          </w:tcPr>
          <w:p>
            <w:pPr>
              <w:jc w:val="center"/>
              <w:spacing w:after="0"/>
              <w:rPr>
                <w:sz w:val="20"/>
                <w:szCs w:val="20"/>
                <w:color w:val="auto"/>
              </w:rPr>
            </w:pPr>
            <w:r>
              <w:rPr>
                <w:rFonts w:ascii="Arial" w:cs="Arial" w:eastAsia="Arial" w:hAnsi="Arial"/>
                <w:sz w:val="17"/>
                <w:szCs w:val="17"/>
                <w:color w:val="0000FF"/>
                <w:w w:val="89"/>
              </w:rPr>
              <w:t>10,651.36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2"/>
          </w:tcPr>
          <w:p>
            <w:pPr>
              <w:jc w:val="center"/>
              <w:ind w:right="3"/>
              <w:spacing w:after="0"/>
              <w:rPr>
                <w:sz w:val="20"/>
                <w:szCs w:val="20"/>
                <w:color w:val="auto"/>
              </w:rPr>
            </w:pPr>
            <w:r>
              <w:rPr>
                <w:rFonts w:ascii="Arial" w:cs="Arial" w:eastAsia="Arial" w:hAnsi="Arial"/>
                <w:sz w:val="13"/>
                <w:szCs w:val="13"/>
                <w:color w:val="0000FF"/>
                <w:w w:val="89"/>
              </w:rPr>
              <w:t>10,651.36</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720" w:type="dxa"/>
            <w:vAlign w:val="bottom"/>
            <w:gridSpan w:val="3"/>
          </w:tcPr>
          <w:p>
            <w:pPr>
              <w:ind w:left="80"/>
              <w:spacing w:after="0" w:line="64" w:lineRule="exact"/>
              <w:rPr>
                <w:sz w:val="20"/>
                <w:szCs w:val="20"/>
                <w:color w:val="auto"/>
              </w:rPr>
            </w:pPr>
            <w:r>
              <w:rPr>
                <w:rFonts w:ascii="Arial" w:cs="Arial" w:eastAsia="Arial" w:hAnsi="Arial"/>
                <w:sz w:val="7"/>
                <w:szCs w:val="7"/>
                <w:color w:val="0000FF"/>
              </w:rPr>
              <w:t>(2018</w:t>
            </w: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ind w:left="160"/>
              <w:spacing w:after="0" w:line="64" w:lineRule="exact"/>
              <w:rPr>
                <w:sz w:val="20"/>
                <w:szCs w:val="20"/>
                <w:color w:val="auto"/>
              </w:rPr>
            </w:pPr>
            <w:r>
              <w:rPr>
                <w:rFonts w:ascii="Arial" w:cs="Arial" w:eastAsia="Arial" w:hAnsi="Arial"/>
                <w:sz w:val="7"/>
                <w:szCs w:val="7"/>
                <w:color w:val="0000FF"/>
              </w:rPr>
              <w:t>Stock</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Borders>
              <w:bottom w:val="single" w:sz="8" w:color="2C2C2C"/>
            </w:tcBorders>
            <w:gridSpan w:val="2"/>
          </w:tcPr>
          <w:p>
            <w:pPr>
              <w:ind w:left="60"/>
              <w:spacing w:after="0" w:line="229" w:lineRule="exact"/>
              <w:rPr>
                <w:sz w:val="20"/>
                <w:szCs w:val="20"/>
                <w:color w:val="auto"/>
              </w:rPr>
            </w:pPr>
            <w:r>
              <w:rPr>
                <w:rFonts w:ascii="Arial" w:cs="Arial" w:eastAsia="Arial" w:hAnsi="Arial"/>
                <w:sz w:val="13"/>
                <w:szCs w:val="13"/>
                <w:color w:val="0000FF"/>
              </w:rPr>
              <w:t>MSPP)</w:t>
            </w:r>
            <w:r>
              <w:rPr>
                <w:rFonts w:ascii="Arial" w:cs="Arial" w:eastAsia="Arial" w:hAnsi="Arial"/>
                <w:sz w:val="21"/>
                <w:szCs w:val="21"/>
                <w:color w:val="008000"/>
                <w:vertAlign w:val="superscript"/>
              </w:rPr>
              <w:t>(6)</w:t>
            </w:r>
          </w:p>
        </w:tc>
        <w:tc>
          <w:tcPr>
            <w:tcW w:w="60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 Unit</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(MSPP</w:t>
            </w:r>
          </w:p>
        </w:tc>
        <w:tc>
          <w:tcPr>
            <w:tcW w:w="600" w:type="dxa"/>
            <w:vAlign w:val="bottom"/>
          </w:tcPr>
          <w:p>
            <w:pPr>
              <w:jc w:val="center"/>
              <w:ind w:left="145"/>
              <w:spacing w:after="0"/>
              <w:rPr>
                <w:sz w:val="20"/>
                <w:szCs w:val="20"/>
                <w:color w:val="auto"/>
              </w:rPr>
            </w:pPr>
            <w:r>
              <w:rPr>
                <w:rFonts w:ascii="Arial" w:cs="Arial" w:eastAsia="Arial" w:hAnsi="Arial"/>
                <w:sz w:val="11"/>
                <w:szCs w:val="11"/>
                <w:color w:val="008000"/>
                <w:w w:val="88"/>
              </w:rPr>
              <w:t>(9)</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gridSpan w:val="2"/>
          </w:tcPr>
          <w:p>
            <w:pPr>
              <w:jc w:val="center"/>
              <w:ind w:right="201"/>
              <w:spacing w:after="0"/>
              <w:rPr>
                <w:sz w:val="20"/>
                <w:szCs w:val="20"/>
                <w:color w:val="auto"/>
              </w:rPr>
            </w:pPr>
            <w:r>
              <w:rPr>
                <w:rFonts w:ascii="Arial" w:cs="Arial" w:eastAsia="Arial" w:hAnsi="Arial"/>
                <w:sz w:val="11"/>
                <w:szCs w:val="11"/>
                <w:color w:val="008000"/>
                <w:w w:val="88"/>
              </w:rPr>
              <w:t>(9)</w:t>
            </w:r>
          </w:p>
        </w:tc>
        <w:tc>
          <w:tcPr>
            <w:tcW w:w="260" w:type="dxa"/>
            <w:vAlign w:val="bottom"/>
          </w:tcPr>
          <w:p>
            <w:pPr>
              <w:spacing w:after="0"/>
              <w:rPr>
                <w:sz w:val="17"/>
                <w:szCs w:val="17"/>
                <w:color w:val="auto"/>
              </w:rPr>
            </w:pPr>
          </w:p>
        </w:tc>
        <w:tc>
          <w:tcPr>
            <w:tcW w:w="460" w:type="dxa"/>
            <w:vAlign w:val="bottom"/>
          </w:tcPr>
          <w:p>
            <w:pPr>
              <w:jc w:val="center"/>
              <w:ind w:right="202"/>
              <w:spacing w:after="0"/>
              <w:rPr>
                <w:sz w:val="20"/>
                <w:szCs w:val="20"/>
                <w:color w:val="auto"/>
              </w:rPr>
            </w:pPr>
            <w:r>
              <w:rPr>
                <w:rFonts w:ascii="Arial" w:cs="Arial" w:eastAsia="Arial" w:hAnsi="Arial"/>
                <w:sz w:val="11"/>
                <w:szCs w:val="11"/>
                <w:color w:val="008000"/>
                <w:w w:val="88"/>
              </w:rPr>
              <w:t>(9)</w:t>
            </w:r>
          </w:p>
        </w:tc>
        <w:tc>
          <w:tcPr>
            <w:tcW w:w="560" w:type="dxa"/>
            <w:vAlign w:val="bottom"/>
            <w:gridSpan w:val="2"/>
          </w:tcPr>
          <w:p>
            <w:pPr>
              <w:ind w:left="60"/>
              <w:spacing w:after="0"/>
              <w:rPr>
                <w:sz w:val="20"/>
                <w:szCs w:val="20"/>
                <w:color w:val="auto"/>
              </w:rPr>
            </w:pPr>
            <w:r>
              <w:rPr>
                <w:rFonts w:ascii="Arial" w:cs="Arial" w:eastAsia="Arial" w:hAnsi="Arial"/>
                <w:sz w:val="13"/>
                <w:szCs w:val="13"/>
                <w:color w:val="0000FF"/>
                <w:w w:val="90"/>
              </w:rPr>
              <w:t>Common</w:t>
            </w:r>
          </w:p>
        </w:tc>
        <w:tc>
          <w:tcPr>
            <w:tcW w:w="840" w:type="dxa"/>
            <w:vAlign w:val="bottom"/>
            <w:gridSpan w:val="3"/>
          </w:tcPr>
          <w:p>
            <w:pPr>
              <w:jc w:val="center"/>
              <w:spacing w:after="0"/>
              <w:rPr>
                <w:sz w:val="20"/>
                <w:szCs w:val="20"/>
                <w:color w:val="auto"/>
              </w:rPr>
            </w:pPr>
            <w:r>
              <w:rPr>
                <w:rFonts w:ascii="Arial" w:cs="Arial" w:eastAsia="Arial" w:hAnsi="Arial"/>
                <w:sz w:val="17"/>
                <w:szCs w:val="17"/>
                <w:color w:val="0000FF"/>
                <w:w w:val="89"/>
              </w:rPr>
              <w:t>17,676.58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gridSpan w:val="2"/>
          </w:tcPr>
          <w:p>
            <w:pPr>
              <w:jc w:val="center"/>
              <w:ind w:right="3"/>
              <w:spacing w:after="0"/>
              <w:rPr>
                <w:sz w:val="20"/>
                <w:szCs w:val="20"/>
                <w:color w:val="auto"/>
              </w:rPr>
            </w:pPr>
            <w:r>
              <w:rPr>
                <w:rFonts w:ascii="Arial" w:cs="Arial" w:eastAsia="Arial" w:hAnsi="Arial"/>
                <w:sz w:val="13"/>
                <w:szCs w:val="13"/>
                <w:color w:val="0000FF"/>
                <w:w w:val="89"/>
              </w:rPr>
              <w:t>17,676.58</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tcPr>
          <w:p>
            <w:pPr>
              <w:ind w:left="60"/>
              <w:spacing w:after="0" w:line="81" w:lineRule="exact"/>
              <w:rPr>
                <w:sz w:val="20"/>
                <w:szCs w:val="20"/>
                <w:color w:val="auto"/>
              </w:rPr>
            </w:pPr>
            <w:r>
              <w:rPr>
                <w:rFonts w:ascii="Arial" w:cs="Arial" w:eastAsia="Arial" w:hAnsi="Arial"/>
                <w:sz w:val="8"/>
                <w:szCs w:val="8"/>
                <w:color w:val="0000FF"/>
              </w:rPr>
              <w:t>Match</w:t>
            </w: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ind w:left="160"/>
              <w:spacing w:after="0" w:line="81" w:lineRule="exact"/>
              <w:rPr>
                <w:sz w:val="20"/>
                <w:szCs w:val="20"/>
                <w:color w:val="auto"/>
              </w:rPr>
            </w:pPr>
            <w:r>
              <w:rPr>
                <w:rFonts w:ascii="Arial" w:cs="Arial" w:eastAsia="Arial" w:hAnsi="Arial"/>
                <w:sz w:val="8"/>
                <w:szCs w:val="8"/>
                <w:color w:val="0000FF"/>
              </w:rPr>
              <w:t>Stock</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3"/>
                <w:szCs w:val="13"/>
                <w:color w:val="0000FF"/>
                <w:w w:val="97"/>
              </w:rPr>
              <w:t>Post-2012)</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3"/>
          </w:tcPr>
          <w:p>
            <w:pPr>
              <w:ind w:left="80"/>
              <w:spacing w:after="0"/>
              <w:rPr>
                <w:sz w:val="20"/>
                <w:szCs w:val="20"/>
                <w:color w:val="auto"/>
              </w:rPr>
            </w:pPr>
            <w:r>
              <w:rPr>
                <w:rFonts w:ascii="Arial" w:cs="Arial" w:eastAsia="Arial" w:hAnsi="Arial"/>
                <w:sz w:val="11"/>
                <w:szCs w:val="11"/>
                <w:color w:val="008000"/>
              </w:rPr>
              <w:t>(8)</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 Unit</w:t>
            </w:r>
          </w:p>
        </w:tc>
        <w:tc>
          <w:tcPr>
            <w:tcW w:w="600" w:type="dxa"/>
            <w:vAlign w:val="bottom"/>
          </w:tcPr>
          <w:p>
            <w:pPr>
              <w:jc w:val="center"/>
              <w:ind w:left="145"/>
              <w:spacing w:after="0"/>
              <w:rPr>
                <w:sz w:val="20"/>
                <w:szCs w:val="20"/>
                <w:color w:val="auto"/>
              </w:rPr>
            </w:pPr>
            <w:r>
              <w:rPr>
                <w:rFonts w:ascii="Arial" w:cs="Arial" w:eastAsia="Arial" w:hAnsi="Arial"/>
                <w:sz w:val="11"/>
                <w:szCs w:val="11"/>
                <w:color w:val="008000"/>
                <w:w w:val="81"/>
              </w:rPr>
              <w:t>(11)</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gridSpan w:val="2"/>
          </w:tcPr>
          <w:p>
            <w:pPr>
              <w:jc w:val="center"/>
              <w:ind w:right="221"/>
              <w:spacing w:after="0"/>
              <w:rPr>
                <w:sz w:val="20"/>
                <w:szCs w:val="20"/>
                <w:color w:val="auto"/>
              </w:rPr>
            </w:pPr>
            <w:r>
              <w:rPr>
                <w:rFonts w:ascii="Arial" w:cs="Arial" w:eastAsia="Arial" w:hAnsi="Arial"/>
                <w:sz w:val="11"/>
                <w:szCs w:val="11"/>
                <w:color w:val="008000"/>
                <w:w w:val="91"/>
              </w:rPr>
              <w:t>(11)</w:t>
            </w:r>
          </w:p>
        </w:tc>
        <w:tc>
          <w:tcPr>
            <w:tcW w:w="260" w:type="dxa"/>
            <w:vAlign w:val="bottom"/>
          </w:tcPr>
          <w:p>
            <w:pPr>
              <w:spacing w:after="0"/>
              <w:rPr>
                <w:sz w:val="15"/>
                <w:szCs w:val="15"/>
                <w:color w:val="auto"/>
              </w:rPr>
            </w:pPr>
          </w:p>
        </w:tc>
        <w:tc>
          <w:tcPr>
            <w:tcW w:w="460" w:type="dxa"/>
            <w:vAlign w:val="bottom"/>
          </w:tcPr>
          <w:p>
            <w:pPr>
              <w:jc w:val="center"/>
              <w:ind w:right="202"/>
              <w:spacing w:after="0"/>
              <w:rPr>
                <w:sz w:val="20"/>
                <w:szCs w:val="20"/>
                <w:color w:val="auto"/>
              </w:rPr>
            </w:pPr>
            <w:r>
              <w:rPr>
                <w:rFonts w:ascii="Arial" w:cs="Arial" w:eastAsia="Arial" w:hAnsi="Arial"/>
                <w:sz w:val="11"/>
                <w:szCs w:val="11"/>
                <w:color w:val="008000"/>
                <w:w w:val="81"/>
              </w:rPr>
              <w:t>(11)</w:t>
            </w:r>
          </w:p>
        </w:tc>
        <w:tc>
          <w:tcPr>
            <w:tcW w:w="560" w:type="dxa"/>
            <w:vAlign w:val="bottom"/>
            <w:gridSpan w:val="2"/>
          </w:tcPr>
          <w:p>
            <w:pPr>
              <w:ind w:left="60"/>
              <w:spacing w:after="0"/>
              <w:rPr>
                <w:sz w:val="20"/>
                <w:szCs w:val="20"/>
                <w:color w:val="auto"/>
              </w:rPr>
            </w:pPr>
            <w:r>
              <w:rPr>
                <w:rFonts w:ascii="Arial" w:cs="Arial" w:eastAsia="Arial" w:hAnsi="Arial"/>
                <w:sz w:val="13"/>
                <w:szCs w:val="13"/>
                <w:color w:val="0000FF"/>
                <w:w w:val="90"/>
              </w:rPr>
              <w:t>Common</w:t>
            </w:r>
          </w:p>
        </w:tc>
        <w:tc>
          <w:tcPr>
            <w:tcW w:w="160" w:type="dxa"/>
            <w:vAlign w:val="bottom"/>
          </w:tcPr>
          <w:p>
            <w:pPr>
              <w:spacing w:after="0"/>
              <w:rPr>
                <w:sz w:val="15"/>
                <w:szCs w:val="15"/>
                <w:color w:val="auto"/>
              </w:rPr>
            </w:pPr>
          </w:p>
        </w:tc>
        <w:tc>
          <w:tcPr>
            <w:tcW w:w="680" w:type="dxa"/>
            <w:vAlign w:val="bottom"/>
            <w:gridSpan w:val="2"/>
            <w:vMerge w:val="restart"/>
          </w:tcPr>
          <w:p>
            <w:pPr>
              <w:jc w:val="center"/>
              <w:ind w:right="48"/>
              <w:spacing w:after="0"/>
              <w:rPr>
                <w:sz w:val="20"/>
                <w:szCs w:val="20"/>
                <w:color w:val="auto"/>
              </w:rPr>
            </w:pPr>
            <w:r>
              <w:rPr>
                <w:rFonts w:ascii="Arial" w:cs="Arial" w:eastAsia="Arial" w:hAnsi="Arial"/>
                <w:sz w:val="17"/>
                <w:szCs w:val="17"/>
                <w:color w:val="0000FF"/>
                <w:w w:val="84"/>
              </w:rPr>
              <w:t>3,208.76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ind w:right="3"/>
              <w:spacing w:after="0"/>
              <w:rPr>
                <w:sz w:val="20"/>
                <w:szCs w:val="20"/>
                <w:color w:val="auto"/>
              </w:rPr>
            </w:pPr>
            <w:r>
              <w:rPr>
                <w:rFonts w:ascii="Arial" w:cs="Arial" w:eastAsia="Arial" w:hAnsi="Arial"/>
                <w:sz w:val="13"/>
                <w:szCs w:val="13"/>
                <w:color w:val="0000FF"/>
                <w:w w:val="86"/>
              </w:rPr>
              <w:t>3,208.76</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gridSpan w:val="2"/>
          </w:tcPr>
          <w:p>
            <w:pPr>
              <w:ind w:left="60"/>
              <w:spacing w:after="0" w:line="102" w:lineRule="exact"/>
              <w:rPr>
                <w:sz w:val="20"/>
                <w:szCs w:val="20"/>
                <w:color w:val="auto"/>
              </w:rPr>
            </w:pPr>
            <w:r>
              <w:rPr>
                <w:rFonts w:ascii="Arial" w:cs="Arial" w:eastAsia="Arial" w:hAnsi="Arial"/>
                <w:sz w:val="11"/>
                <w:szCs w:val="11"/>
                <w:color w:val="0000FF"/>
              </w:rPr>
              <w:t>(MSPP</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ind w:left="160"/>
              <w:spacing w:after="0" w:line="102" w:lineRule="exact"/>
              <w:rPr>
                <w:sz w:val="20"/>
                <w:szCs w:val="20"/>
                <w:color w:val="auto"/>
              </w:rPr>
            </w:pPr>
            <w:r>
              <w:rPr>
                <w:rFonts w:ascii="Arial" w:cs="Arial" w:eastAsia="Arial" w:hAnsi="Arial"/>
                <w:sz w:val="11"/>
                <w:szCs w:val="11"/>
                <w:color w:val="0000FF"/>
              </w:rPr>
              <w:t>Stock</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Borders>
              <w:bottom w:val="single" w:sz="8" w:color="2C2C2C"/>
            </w:tcBorders>
            <w:gridSpan w:val="2"/>
          </w:tcPr>
          <w:p>
            <w:pPr>
              <w:ind w:left="60"/>
              <w:spacing w:after="0" w:line="229" w:lineRule="exact"/>
              <w:rPr>
                <w:sz w:val="20"/>
                <w:szCs w:val="20"/>
                <w:color w:val="auto"/>
              </w:rPr>
            </w:pPr>
            <w:r>
              <w:rPr>
                <w:rFonts w:ascii="Arial" w:cs="Arial" w:eastAsia="Arial" w:hAnsi="Arial"/>
                <w:sz w:val="13"/>
                <w:szCs w:val="13"/>
                <w:color w:val="0000FF"/>
                <w:w w:val="95"/>
              </w:rPr>
              <w:t>Match)</w:t>
            </w:r>
            <w:r>
              <w:rPr>
                <w:rFonts w:ascii="Arial" w:cs="Arial" w:eastAsia="Arial" w:hAnsi="Arial"/>
                <w:sz w:val="21"/>
                <w:szCs w:val="21"/>
                <w:color w:val="008000"/>
                <w:w w:val="95"/>
                <w:vertAlign w:val="superscript"/>
              </w:rPr>
              <w:t>(10)</w:t>
            </w:r>
          </w:p>
        </w:tc>
        <w:tc>
          <w:tcPr>
            <w:tcW w:w="60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 Unit</w:t>
            </w:r>
          </w:p>
        </w:tc>
        <w:tc>
          <w:tcPr>
            <w:tcW w:w="600" w:type="dxa"/>
            <w:vAlign w:val="bottom"/>
            <w:vMerge w:val="restart"/>
          </w:tcPr>
          <w:p>
            <w:pPr>
              <w:jc w:val="center"/>
              <w:ind w:left="145"/>
              <w:spacing w:after="0"/>
              <w:rPr>
                <w:sz w:val="20"/>
                <w:szCs w:val="20"/>
                <w:color w:val="auto"/>
              </w:rPr>
            </w:pPr>
            <w:r>
              <w:rPr>
                <w:rFonts w:ascii="Arial" w:cs="Arial" w:eastAsia="Arial" w:hAnsi="Arial"/>
                <w:sz w:val="11"/>
                <w:szCs w:val="11"/>
                <w:color w:val="008000"/>
                <w:w w:val="81"/>
              </w:rPr>
              <w:t>(13)</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vMerge w:val="restart"/>
          </w:tcPr>
          <w:p>
            <w:pPr>
              <w:jc w:val="center"/>
              <w:ind w:right="221"/>
              <w:spacing w:after="0"/>
              <w:rPr>
                <w:sz w:val="20"/>
                <w:szCs w:val="20"/>
                <w:color w:val="auto"/>
              </w:rPr>
            </w:pPr>
            <w:r>
              <w:rPr>
                <w:rFonts w:ascii="Arial" w:cs="Arial" w:eastAsia="Arial" w:hAnsi="Arial"/>
                <w:sz w:val="11"/>
                <w:szCs w:val="11"/>
                <w:color w:val="008000"/>
                <w:w w:val="91"/>
              </w:rPr>
              <w:t>(13)</w:t>
            </w:r>
          </w:p>
        </w:tc>
        <w:tc>
          <w:tcPr>
            <w:tcW w:w="260" w:type="dxa"/>
            <w:vAlign w:val="bottom"/>
          </w:tcPr>
          <w:p>
            <w:pPr>
              <w:spacing w:after="0"/>
              <w:rPr>
                <w:sz w:val="12"/>
                <w:szCs w:val="12"/>
                <w:color w:val="auto"/>
              </w:rPr>
            </w:pPr>
          </w:p>
        </w:tc>
        <w:tc>
          <w:tcPr>
            <w:tcW w:w="460" w:type="dxa"/>
            <w:vAlign w:val="bottom"/>
            <w:vMerge w:val="restart"/>
          </w:tcPr>
          <w:p>
            <w:pPr>
              <w:jc w:val="center"/>
              <w:ind w:right="202"/>
              <w:spacing w:after="0"/>
              <w:rPr>
                <w:sz w:val="20"/>
                <w:szCs w:val="20"/>
                <w:color w:val="auto"/>
              </w:rPr>
            </w:pPr>
            <w:r>
              <w:rPr>
                <w:rFonts w:ascii="Arial" w:cs="Arial" w:eastAsia="Arial" w:hAnsi="Arial"/>
                <w:sz w:val="11"/>
                <w:szCs w:val="11"/>
                <w:color w:val="008000"/>
                <w:w w:val="81"/>
              </w:rPr>
              <w:t>(13)</w:t>
            </w:r>
          </w:p>
        </w:tc>
        <w:tc>
          <w:tcPr>
            <w:tcW w:w="560" w:type="dxa"/>
            <w:vAlign w:val="bottom"/>
            <w:gridSpan w:val="2"/>
            <w:vMerge w:val="restart"/>
          </w:tcPr>
          <w:p>
            <w:pPr>
              <w:ind w:left="60"/>
              <w:spacing w:after="0"/>
              <w:rPr>
                <w:sz w:val="20"/>
                <w:szCs w:val="20"/>
                <w:color w:val="auto"/>
              </w:rPr>
            </w:pPr>
            <w:r>
              <w:rPr>
                <w:rFonts w:ascii="Arial" w:cs="Arial" w:eastAsia="Arial" w:hAnsi="Arial"/>
                <w:sz w:val="13"/>
                <w:szCs w:val="13"/>
                <w:color w:val="0000FF"/>
                <w:w w:val="90"/>
              </w:rPr>
              <w:t>Common</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26,097.47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gridSpan w:val="2"/>
          </w:tcPr>
          <w:p>
            <w:pPr>
              <w:ind w:left="60"/>
              <w:spacing w:after="0" w:line="123" w:lineRule="exact"/>
              <w:rPr>
                <w:sz w:val="20"/>
                <w:szCs w:val="20"/>
                <w:color w:val="auto"/>
              </w:rPr>
            </w:pPr>
            <w:r>
              <w:rPr>
                <w:rFonts w:ascii="Arial" w:cs="Arial" w:eastAsia="Arial" w:hAnsi="Arial"/>
                <w:sz w:val="13"/>
                <w:szCs w:val="13"/>
                <w:color w:val="0000FF"/>
              </w:rPr>
              <w:t>(MSPP</w:t>
            </w:r>
          </w:p>
        </w:tc>
        <w:tc>
          <w:tcPr>
            <w:tcW w:w="6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jc w:val="center"/>
              <w:ind w:right="3"/>
              <w:spacing w:after="0" w:line="123" w:lineRule="exact"/>
              <w:rPr>
                <w:sz w:val="20"/>
                <w:szCs w:val="20"/>
                <w:color w:val="auto"/>
              </w:rPr>
            </w:pPr>
            <w:r>
              <w:rPr>
                <w:rFonts w:ascii="Arial" w:cs="Arial" w:eastAsia="Arial" w:hAnsi="Arial"/>
                <w:sz w:val="13"/>
                <w:szCs w:val="13"/>
                <w:color w:val="0000FF"/>
                <w:w w:val="89"/>
              </w:rPr>
              <w:t>26,097.47</w:t>
            </w: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w w:val="97"/>
              </w:rPr>
              <w:t>Post-2012)</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ind w:left="160"/>
              <w:spacing w:after="0" w:line="140" w:lineRule="exact"/>
              <w:rPr>
                <w:sz w:val="20"/>
                <w:szCs w:val="20"/>
                <w:color w:val="auto"/>
              </w:rPr>
            </w:pPr>
            <w:r>
              <w:rPr>
                <w:rFonts w:ascii="Arial" w:cs="Arial" w:eastAsia="Arial" w:hAnsi="Arial"/>
                <w:sz w:val="13"/>
                <w:szCs w:val="13"/>
                <w:color w:val="0000FF"/>
                <w:w w:val="85"/>
              </w:rPr>
              <w:t>Stock</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-7321550</wp:posOffset>
            </wp:positionV>
            <wp:extent cx="7034530" cy="7680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7680960"/>
                    </a:xfrm>
                    <a:prstGeom prst="rect">
                      <a:avLst/>
                    </a:prstGeom>
                    <a:noFill/>
                  </pic:spPr>
                </pic:pic>
              </a:graphicData>
            </a:graphic>
          </wp:anchor>
        </w:drawing>
      </w:r>
    </w:p>
    <w:p>
      <w:pPr>
        <w:sectPr>
          <w:pgSz w:w="11900" w:h="16838" w:orient="portrait"/>
          <w:cols w:equalWidth="0" w:num="1">
            <w:col w:w="11080"/>
          </w:cols>
          <w:pgMar w:left="460" w:top="220" w:right="359" w:bottom="11" w:gutter="0" w:footer="0" w:header="0"/>
          <w:type w:val="continuous"/>
        </w:sectPr>
      </w:pPr>
    </w:p>
    <w:p>
      <w:pPr>
        <w:ind w:left="80"/>
        <w:spacing w:after="0"/>
        <w:rPr>
          <w:sz w:val="20"/>
          <w:szCs w:val="20"/>
          <w:color w:val="auto"/>
        </w:rPr>
      </w:pPr>
      <w:r>
        <w:rPr>
          <w:rFonts w:ascii="Arial" w:cs="Arial" w:eastAsia="Arial" w:hAnsi="Arial"/>
          <w:sz w:val="10"/>
          <w:szCs w:val="10"/>
          <w:color w:val="008000"/>
        </w:rPr>
        <w:t>(12)</w:t>
      </w:r>
    </w:p>
    <w:p>
      <w:pPr>
        <w:sectPr>
          <w:pgSz w:w="11900" w:h="16838" w:orient="portrait"/>
          <w:cols w:equalWidth="0" w:num="1">
            <w:col w:w="11080"/>
          </w:cols>
          <w:pgMar w:left="460" w:top="220" w:right="359" w:bottom="11"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293370</wp:posOffset>
            </wp:positionH>
            <wp:positionV relativeFrom="page">
              <wp:posOffset>88900</wp:posOffset>
            </wp:positionV>
            <wp:extent cx="7034530" cy="1906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906270"/>
                    </a:xfrm>
                    <a:prstGeom prst="rect">
                      <a:avLst/>
                    </a:prstGeom>
                    <a:noFill/>
                  </pic:spPr>
                </pic:pic>
              </a:graphicData>
            </a:graphic>
          </wp:anchor>
        </w:drawing>
        <w:t>Table II - Derivative Securities Acquired, Disposed of, or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4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800" w:type="dxa"/>
            <w:vAlign w:val="bottom"/>
            <w:vMerge w:val="restart"/>
          </w:tcPr>
          <w:p>
            <w:pPr>
              <w:jc w:val="right"/>
              <w:ind w:right="56"/>
              <w:spacing w:after="0"/>
              <w:rPr>
                <w:sz w:val="20"/>
                <w:szCs w:val="20"/>
                <w:color w:val="auto"/>
              </w:rPr>
            </w:pPr>
            <w:r>
              <w:rPr>
                <w:rFonts w:ascii="Arial" w:cs="Arial" w:eastAsia="Arial" w:hAnsi="Arial"/>
                <w:sz w:val="17"/>
                <w:szCs w:val="17"/>
                <w:color w:val="0000FF"/>
                <w:w w:val="99"/>
              </w:rPr>
              <w:t>8,056.93</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720" w:type="dxa"/>
            <w:vAlign w:val="bottom"/>
            <w:vMerge w:val="restart"/>
          </w:tcPr>
          <w:p>
            <w:pPr>
              <w:ind w:left="60"/>
              <w:spacing w:after="0" w:line="136" w:lineRule="exact"/>
              <w:rPr>
                <w:sz w:val="20"/>
                <w:szCs w:val="20"/>
                <w:color w:val="auto"/>
              </w:rPr>
            </w:pPr>
            <w:r>
              <w:rPr>
                <w:rFonts w:ascii="Arial" w:cs="Arial" w:eastAsia="Arial" w:hAnsi="Arial"/>
                <w:sz w:val="13"/>
                <w:szCs w:val="13"/>
                <w:color w:val="0000FF"/>
              </w:rPr>
              <w:t>Stock Unit</w:t>
            </w: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(15)</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(15)</w:t>
            </w:r>
          </w:p>
        </w:tc>
        <w:tc>
          <w:tcPr>
            <w:tcW w:w="700" w:type="dxa"/>
            <w:vAlign w:val="bottom"/>
            <w:vMerge w:val="restart"/>
          </w:tcPr>
          <w:p>
            <w:pPr>
              <w:jc w:val="right"/>
              <w:ind w:right="204"/>
              <w:spacing w:after="0"/>
              <w:rPr>
                <w:sz w:val="20"/>
                <w:szCs w:val="20"/>
                <w:color w:val="auto"/>
              </w:rPr>
            </w:pPr>
            <w:r>
              <w:rPr>
                <w:rFonts w:ascii="Arial" w:cs="Arial" w:eastAsia="Arial" w:hAnsi="Arial"/>
                <w:sz w:val="11"/>
                <w:szCs w:val="11"/>
                <w:color w:val="008000"/>
              </w:rPr>
              <w:t>(15)</w:t>
            </w:r>
          </w:p>
        </w:tc>
        <w:tc>
          <w:tcPr>
            <w:tcW w:w="6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240"/>
              <w:spacing w:after="0" w:line="136" w:lineRule="exact"/>
              <w:rPr>
                <w:sz w:val="20"/>
                <w:szCs w:val="20"/>
                <w:color w:val="auto"/>
              </w:rPr>
            </w:pPr>
            <w:r>
              <w:rPr>
                <w:rFonts w:ascii="Arial" w:cs="Arial" w:eastAsia="Arial" w:hAnsi="Arial"/>
                <w:sz w:val="13"/>
                <w:szCs w:val="13"/>
                <w:color w:val="0000FF"/>
              </w:rPr>
              <w:t>8,056.93</w:t>
            </w:r>
          </w:p>
        </w:tc>
        <w:tc>
          <w:tcPr>
            <w:tcW w:w="720" w:type="dxa"/>
            <w:vAlign w:val="bottom"/>
            <w:vMerge w:val="restart"/>
          </w:tcPr>
          <w:p>
            <w:pPr>
              <w:ind w:left="320"/>
              <w:spacing w:after="0" w:line="13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0"/>
              </w:rPr>
              <w:t>(MSPP)</w:t>
            </w:r>
            <w:r>
              <w:rPr>
                <w:rFonts w:ascii="Arial" w:cs="Arial" w:eastAsia="Arial" w:hAnsi="Arial"/>
                <w:sz w:val="21"/>
                <w:szCs w:val="21"/>
                <w:color w:val="008000"/>
                <w:w w:val="90"/>
                <w:vertAlign w:val="superscript"/>
              </w:rPr>
              <w:t>(14)</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7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jc w:val="both"/>
        <w:ind w:left="20" w:right="340"/>
        <w:spacing w:after="0" w:line="236" w:lineRule="auto"/>
        <w:tabs>
          <w:tab w:leader="none" w:pos="14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Performance Units which will be awarded to the Reporting Person under the Company's Equity Incentive Plan upon achievement of the targeted return on invested capital for 2020. The maximum number of Performance Units which may be earned is two hundred percent (200%) of the Performance Units awarded for target level performance and the minimum number of Performance Units which may be earned is zero (0) Performance Units.</w:t>
      </w:r>
    </w:p>
    <w:p>
      <w:pPr>
        <w:spacing w:after="0" w:line="29" w:lineRule="exact"/>
        <w:rPr>
          <w:rFonts w:ascii="Arial" w:cs="Arial" w:eastAsia="Arial" w:hAnsi="Arial"/>
          <w:sz w:val="13"/>
          <w:szCs w:val="13"/>
          <w:color w:val="008000"/>
        </w:rPr>
      </w:pPr>
    </w:p>
    <w:p>
      <w:pPr>
        <w:jc w:val="both"/>
        <w:ind w:left="20" w:right="120"/>
        <w:spacing w:after="0" w:line="236" w:lineRule="auto"/>
        <w:tabs>
          <w:tab w:leader="none" w:pos="14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an increase of the targeted number of Performance Units awarded to the Reporting Person on March 2, 2020 under the Company's 2018 Equity Incentive Plan as a result of the Company's achievement of a return on invested capital above the targeted return on invested capital for 2020. The Compensation Committee has reviewed and confirmed the Company's calculation of Return on Invested Capital for 2020 as compared to target and approved the resulting increase in the number of Performance Units.</w:t>
      </w:r>
    </w:p>
    <w:p>
      <w:pPr>
        <w:spacing w:after="0" w:line="29"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granted to Reporting Person which provide the Reporting Person with the right to purchase up to 5,000 shares of common stock of the Registrant at the exercise price.</w:t>
      </w:r>
    </w:p>
    <w:p>
      <w:pPr>
        <w:spacing w:after="0" w:line="41" w:lineRule="exact"/>
        <w:rPr>
          <w:rFonts w:ascii="Arial" w:cs="Arial" w:eastAsia="Arial" w:hAnsi="Arial"/>
          <w:sz w:val="13"/>
          <w:szCs w:val="13"/>
          <w:color w:val="008000"/>
        </w:rPr>
      </w:pPr>
    </w:p>
    <w:p>
      <w:pPr>
        <w:ind w:left="20" w:right="560"/>
        <w:spacing w:after="0" w:line="243" w:lineRule="auto"/>
        <w:tabs>
          <w:tab w:leader="none" w:pos="14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matching restricted stock units allocated to the Reporting Person with respect to the Reporting Person's deferral of a portion of their annual base salary and annual cash incentive compensation pursuant to the Company's 2018 Management Stock Purchase Plan.</w:t>
      </w:r>
    </w:p>
    <w:p>
      <w:pPr>
        <w:spacing w:after="0" w:line="27" w:lineRule="exact"/>
        <w:rPr>
          <w:rFonts w:ascii="Arial" w:cs="Arial" w:eastAsia="Arial" w:hAnsi="Arial"/>
          <w:sz w:val="13"/>
          <w:szCs w:val="13"/>
          <w:color w:val="008000"/>
        </w:rPr>
      </w:pPr>
    </w:p>
    <w:p>
      <w:pPr>
        <w:ind w:left="20" w:right="220"/>
        <w:spacing w:after="0" w:line="231" w:lineRule="auto"/>
        <w:tabs>
          <w:tab w:leader="none" w:pos="14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are forfeited if Reporting Person's service as an officer of the Company is terminated prior to the fifth (5th) anniversary of the Reporting Person's vesting commencement date. If service as an officer continues beyond the fifth (5th) anniversary of the Reporting Person's vesting commencement date,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p>
      <w:pPr>
        <w:spacing w:after="0" w:line="30" w:lineRule="exact"/>
        <w:rPr>
          <w:rFonts w:ascii="Arial" w:cs="Arial" w:eastAsia="Arial" w:hAnsi="Arial"/>
          <w:sz w:val="13"/>
          <w:szCs w:val="13"/>
          <w:color w:val="008000"/>
        </w:rPr>
      </w:pPr>
    </w:p>
    <w:p>
      <w:pPr>
        <w:ind w:left="20" w:right="280"/>
        <w:spacing w:after="0" w:line="243" w:lineRule="auto"/>
        <w:tabs>
          <w:tab w:leader="none" w:pos="14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allocated to the Reporting Person with respect to the Reporting Person's deferral of a portion of their annual base salary and annual cash incentive compensation pursuant to the Company's 2018 Management Stock Purchase Plan.</w:t>
      </w:r>
    </w:p>
    <w:p>
      <w:pPr>
        <w:spacing w:after="0" w:line="27" w:lineRule="exact"/>
        <w:rPr>
          <w:rFonts w:ascii="Arial" w:cs="Arial" w:eastAsia="Arial" w:hAnsi="Arial"/>
          <w:sz w:val="13"/>
          <w:szCs w:val="13"/>
          <w:color w:val="008000"/>
        </w:rPr>
      </w:pPr>
    </w:p>
    <w:p>
      <w:pPr>
        <w:ind w:left="20" w:right="300"/>
        <w:spacing w:after="0" w:line="263" w:lineRule="auto"/>
        <w:tabs>
          <w:tab w:leader="none" w:pos="14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p>
      <w:pPr>
        <w:spacing w:after="0" w:line="16" w:lineRule="exact"/>
        <w:rPr>
          <w:rFonts w:ascii="Arial" w:cs="Arial" w:eastAsia="Arial" w:hAnsi="Arial"/>
          <w:sz w:val="12"/>
          <w:szCs w:val="12"/>
          <w:color w:val="008000"/>
        </w:rPr>
      </w:pPr>
    </w:p>
    <w:p>
      <w:pPr>
        <w:ind w:left="20" w:right="740"/>
        <w:spacing w:after="0" w:line="243" w:lineRule="auto"/>
        <w:tabs>
          <w:tab w:leader="none" w:pos="14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matching restricted stock units allocated to the Reporting Person after 2012 with respect to the Reporting Person's deferral of a portion of their annual base salary and annual cash incentive compensation pursuant to the Company's Management Stock Purchase Plan.</w:t>
      </w:r>
    </w:p>
    <w:p>
      <w:pPr>
        <w:spacing w:after="0" w:line="27" w:lineRule="exact"/>
        <w:rPr>
          <w:rFonts w:ascii="Arial" w:cs="Arial" w:eastAsia="Arial" w:hAnsi="Arial"/>
          <w:sz w:val="13"/>
          <w:szCs w:val="13"/>
          <w:color w:val="008000"/>
        </w:rPr>
      </w:pPr>
    </w:p>
    <w:p>
      <w:pPr>
        <w:ind w:left="20" w:right="120"/>
        <w:spacing w:after="0" w:line="233" w:lineRule="auto"/>
        <w:tabs>
          <w:tab w:leader="none" w:pos="14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are forfeited if Reporting Person's service as an officer of the Company is terminated prior to age sixty (60). If service as an officer continues through age sixty (60),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(200 day rolling average) of one share of the Company's common stock on the date of termination of the Reporting Person's service as an officer of the Company.</w:t>
      </w:r>
    </w:p>
    <w:p>
      <w:pPr>
        <w:spacing w:after="0" w:line="29" w:lineRule="exact"/>
        <w:rPr>
          <w:rFonts w:ascii="Arial" w:cs="Arial" w:eastAsia="Arial" w:hAnsi="Arial"/>
          <w:sz w:val="13"/>
          <w:szCs w:val="13"/>
          <w:color w:val="008000"/>
        </w:rPr>
      </w:pPr>
    </w:p>
    <w:p>
      <w:pPr>
        <w:ind w:left="20" w:right="400"/>
        <w:spacing w:after="0" w:line="243" w:lineRule="auto"/>
        <w:tabs>
          <w:tab w:leader="none" w:pos="21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matching restricted stock units allocated to the Reporting Person prior to 2013 pursuant to the Company's Management Stock Purchase Plan equal in number to restricted stock units allocated to reflect the Reporting Person's deferral of a portion of his annual incentive compensation award.</w:t>
      </w:r>
    </w:p>
    <w:p>
      <w:pPr>
        <w:spacing w:after="0" w:line="27" w:lineRule="exact"/>
        <w:rPr>
          <w:rFonts w:ascii="Arial" w:cs="Arial" w:eastAsia="Arial" w:hAnsi="Arial"/>
          <w:sz w:val="13"/>
          <w:szCs w:val="13"/>
          <w:color w:val="008000"/>
        </w:rPr>
      </w:pPr>
    </w:p>
    <w:p>
      <w:pPr>
        <w:jc w:val="both"/>
        <w:ind w:left="20" w:right="320"/>
        <w:spacing w:after="0" w:line="236" w:lineRule="auto"/>
        <w:tabs>
          <w:tab w:leader="none" w:pos="20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are forfeited if employment is terminated prior to age sixty (60). If employment continues through age sixty (60), restricted stock units are payable solely in cash in five (5) consecutive substantially equal annual installments beginning six (6) months following termination of employment. Each restricted stock unit is converted to cash in an amount equal to the fair market value (200 day rolling average) of one share of the Company's common stock on the date the Reporting Person's employment is terminated.</w:t>
      </w:r>
    </w:p>
    <w:p>
      <w:pPr>
        <w:spacing w:after="0" w:line="29" w:lineRule="exact"/>
        <w:rPr>
          <w:rFonts w:ascii="Arial" w:cs="Arial" w:eastAsia="Arial" w:hAnsi="Arial"/>
          <w:sz w:val="13"/>
          <w:szCs w:val="13"/>
          <w:color w:val="008000"/>
        </w:rPr>
      </w:pPr>
    </w:p>
    <w:p>
      <w:pPr>
        <w:ind w:left="20" w:right="440"/>
        <w:spacing w:after="0" w:line="243" w:lineRule="auto"/>
        <w:tabs>
          <w:tab w:leader="none" w:pos="21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allocated to the Reporting Person after 2012 with respect to the Reporting Person's deferral of a portion of their annual base salary and annual cash incentive compensation pursuant to the Company's Management Stock Purchase Plan.</w:t>
      </w:r>
    </w:p>
    <w:p>
      <w:pPr>
        <w:spacing w:after="0" w:line="27" w:lineRule="exact"/>
        <w:rPr>
          <w:rFonts w:ascii="Arial" w:cs="Arial" w:eastAsia="Arial" w:hAnsi="Arial"/>
          <w:sz w:val="13"/>
          <w:szCs w:val="13"/>
          <w:color w:val="008000"/>
        </w:rPr>
      </w:pPr>
    </w:p>
    <w:p>
      <w:pPr>
        <w:jc w:val="both"/>
        <w:ind w:left="20" w:right="220"/>
        <w:spacing w:after="0" w:line="236" w:lineRule="auto"/>
        <w:tabs>
          <w:tab w:leader="none" w:pos="21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are payable solely in cash in one lump sum payment or in five (5) or ten (10) consecutive, substantially equal annual installments, whichever distribution form is elected by the Reporting Person, beginning six (6) months following termination of service as an officer of the Company. Each restricted stock unit is converted to cash in an amount equal to the fair market value (200 day rolling average) of one share of the Company's common stock on the date of termination of the Reporting Person's service as an officer of the Company.</w:t>
      </w:r>
    </w:p>
    <w:p>
      <w:pPr>
        <w:spacing w:after="0" w:line="29" w:lineRule="exact"/>
        <w:rPr>
          <w:rFonts w:ascii="Arial" w:cs="Arial" w:eastAsia="Arial" w:hAnsi="Arial"/>
          <w:sz w:val="13"/>
          <w:szCs w:val="13"/>
          <w:color w:val="008000"/>
        </w:rPr>
      </w:pPr>
    </w:p>
    <w:p>
      <w:pPr>
        <w:ind w:left="220" w:hanging="200"/>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restricted stock units allocated to Reporting Person prior to 2013 pursuant to the Company's Management Stock Purchase Plan reflecting deferred annual incentive compensation awards.</w:t>
      </w:r>
    </w:p>
    <w:p>
      <w:pPr>
        <w:spacing w:after="0" w:line="52" w:lineRule="exact"/>
        <w:rPr>
          <w:rFonts w:ascii="Arial" w:cs="Arial" w:eastAsia="Arial" w:hAnsi="Arial"/>
          <w:sz w:val="12"/>
          <w:szCs w:val="12"/>
          <w:color w:val="008000"/>
        </w:rPr>
      </w:pPr>
    </w:p>
    <w:p>
      <w:pPr>
        <w:ind w:left="20" w:right="160"/>
        <w:spacing w:after="0" w:line="236" w:lineRule="auto"/>
        <w:tabs>
          <w:tab w:leader="none" w:pos="21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are payable solely in cash in five (5) consecutive, substantially equal annual installments beginning the first January 1 occurring six (6) months following termination of employment. Each restricted stock unit is converted to cash in an amount equal to the fair market value (200 day rolling average) of one share of the Company's common stock on the date the Reporting Person's employment is terminated.</w:t>
      </w:r>
    </w:p>
    <w:p>
      <w:pPr>
        <w:ind w:left="6580"/>
        <w:spacing w:after="0" w:line="183" w:lineRule="auto"/>
        <w:rPr>
          <w:sz w:val="20"/>
          <w:szCs w:val="20"/>
          <w:color w:val="auto"/>
        </w:rPr>
      </w:pPr>
      <w:r>
        <w:rPr>
          <w:rFonts w:ascii="Arial" w:cs="Arial" w:eastAsia="Arial" w:hAnsi="Arial"/>
          <w:sz w:val="16"/>
          <w:szCs w:val="16"/>
          <w:color w:val="0000FF"/>
        </w:rPr>
        <w:t xml:space="preserve">/s/ Jeffrey J. Watorek, Attorney- </w:t>
      </w:r>
      <w:r>
        <w:rPr>
          <w:rFonts w:ascii="Arial" w:cs="Arial" w:eastAsia="Arial" w:hAnsi="Arial"/>
          <w:sz w:val="31"/>
          <w:szCs w:val="31"/>
          <w:color w:val="0000FF"/>
          <w:vertAlign w:val="subscript"/>
        </w:rPr>
        <w:t>02/25/2021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-26670</wp:posOffset>
            </wp:positionV>
            <wp:extent cx="13481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Timothy F.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-21590</wp:posOffset>
            </wp:positionV>
            <wp:extent cx="1297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97305" cy="8255"/>
                    </a:xfrm>
                    <a:prstGeom prst="rect">
                      <a:avLst/>
                    </a:prstGeom>
                    <a:noFill/>
                  </pic:spPr>
                </pic:pic>
              </a:graphicData>
            </a:graphic>
          </wp:anchor>
        </w:drawing>
        <w:drawing>
          <wp:anchor simplePos="0" relativeHeight="251657728" behindDoc="1" locked="0" layoutInCell="0" allowOverlap="1">
            <wp:simplePos x="0" y="0"/>
            <wp:positionH relativeFrom="column">
              <wp:posOffset>5569585</wp:posOffset>
            </wp:positionH>
            <wp:positionV relativeFrom="paragraph">
              <wp:posOffset>-86360</wp:posOffset>
            </wp:positionV>
            <wp:extent cx="478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680"/>
        <w:spacing w:after="0" w:line="328" w:lineRule="auto"/>
        <w:tabs>
          <w:tab w:leader="none" w:pos="15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43942" TargetMode="External"/><Relationship Id="rId14" Type="http://schemas.openxmlformats.org/officeDocument/2006/relationships/hyperlink" Target="http://www.sec.gov/cgi-bin/browse-edgar?action=getcompany&amp;CIK=0000912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2021-02-25T13:34:23Z</dcterms:created>
  <dcterms:modified xsi:type="dcterms:W3CDTF">2021-02-25T13:34:23Z</dcterms:modified>
</cp:coreProperties>
</file>