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GIBRALTAR INDUSTRIES, INC.</w:t>
      </w:r>
    </w:p>
    <w:p>
      <w:pPr>
        <w:spacing w:after="0" w:line="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p>
      <w:pPr>
        <w:ind w:left="1520"/>
        <w:spacing w:after="0"/>
        <w:tabs>
          <w:tab w:leader="none" w:pos="5220" w:val="left"/>
          <w:tab w:leader="none" w:pos="8940" w:val="left"/>
        </w:tabs>
        <w:rPr>
          <w:sz w:val="20"/>
          <w:szCs w:val="20"/>
          <w:color w:val="auto"/>
        </w:rPr>
      </w:pPr>
      <w:r>
        <w:rPr>
          <w:rFonts w:ascii="Times New Roman" w:cs="Times New Roman" w:eastAsia="Times New Roman" w:hAnsi="Times New Roman"/>
          <w:sz w:val="18"/>
          <w:szCs w:val="18"/>
          <w:color w:val="auto"/>
        </w:rPr>
        <w:t>Delaware</w:t>
      </w:r>
      <w:r>
        <w:rPr>
          <w:sz w:val="20"/>
          <w:szCs w:val="20"/>
          <w:color w:val="auto"/>
        </w:rPr>
        <w:tab/>
      </w:r>
      <w:r>
        <w:rPr>
          <w:rFonts w:ascii="Times New Roman" w:cs="Times New Roman" w:eastAsia="Times New Roman" w:hAnsi="Times New Roman"/>
          <w:sz w:val="18"/>
          <w:szCs w:val="18"/>
          <w:color w:val="auto"/>
        </w:rPr>
        <w:t>000-22462</w:t>
      </w:r>
      <w:r>
        <w:rPr>
          <w:sz w:val="20"/>
          <w:szCs w:val="20"/>
          <w:color w:val="auto"/>
        </w:rPr>
        <w:tab/>
      </w:r>
      <w:r>
        <w:rPr>
          <w:rFonts w:ascii="Times New Roman" w:cs="Times New Roman" w:eastAsia="Times New Roman" w:hAnsi="Times New Roman"/>
          <w:sz w:val="17"/>
          <w:szCs w:val="17"/>
          <w:color w:val="auto"/>
        </w:rPr>
        <w:t>16-1445150</w:t>
      </w:r>
    </w:p>
    <w:p>
      <w:pPr>
        <w:spacing w:after="0" w:line="27" w:lineRule="exact"/>
        <w:rPr>
          <w:sz w:val="24"/>
          <w:szCs w:val="24"/>
          <w:color w:val="auto"/>
        </w:rPr>
      </w:pPr>
    </w:p>
    <w:p>
      <w:pPr>
        <w:ind w:left="280"/>
        <w:spacing w:after="0"/>
        <w:tabs>
          <w:tab w:leader="none" w:pos="4620" w:val="left"/>
          <w:tab w:leader="none" w:pos="814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3556 Lake Shore Road</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P.O. Box 2028</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Buffalo, New York 14219-0228</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(716) 826-6500</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ind w:right="680"/>
        <w:spacing w:after="0" w:line="24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right="2860" w:firstLine="8"/>
        <w:spacing w:after="0" w:line="25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spacing w:after="0"/>
              <w:rPr>
                <w:sz w:val="18"/>
                <w:szCs w:val="18"/>
                <w:color w:val="auto"/>
              </w:rPr>
            </w:pPr>
          </w:p>
        </w:tc>
      </w:tr>
      <w:tr>
        <w:trPr>
          <w:trHeight w:val="245"/>
        </w:trPr>
        <w:tc>
          <w:tcPr>
            <w:tcW w:w="4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ROCK</w:t>
            </w:r>
          </w:p>
        </w:tc>
        <w:tc>
          <w:tcPr>
            <w:tcW w:w="10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r>
    </w:tbl>
    <w:p>
      <w:pPr>
        <w:ind w:right="52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Amendment No. 1 on Form 8-K/A (this “</w:t>
      </w:r>
      <w:r>
        <w:rPr>
          <w:rFonts w:ascii="Times New Roman" w:cs="Times New Roman" w:eastAsia="Times New Roman" w:hAnsi="Times New Roman"/>
          <w:sz w:val="18"/>
          <w:szCs w:val="18"/>
          <w:u w:val="single" w:color="auto"/>
          <w:color w:val="auto"/>
        </w:rPr>
        <w:t>Form 8-K/A</w:t>
      </w:r>
      <w:r>
        <w:rPr>
          <w:rFonts w:ascii="Times New Roman" w:cs="Times New Roman" w:eastAsia="Times New Roman" w:hAnsi="Times New Roman"/>
          <w:sz w:val="18"/>
          <w:szCs w:val="18"/>
          <w:color w:val="auto"/>
        </w:rPr>
        <w:t>”) is being filed by Gibraltar Industries, Inc., a Delaware corporation (“</w:t>
      </w:r>
      <w:r>
        <w:rPr>
          <w:rFonts w:ascii="Times New Roman" w:cs="Times New Roman" w:eastAsia="Times New Roman" w:hAnsi="Times New Roman"/>
          <w:sz w:val="18"/>
          <w:szCs w:val="18"/>
          <w:u w:val="single" w:color="auto"/>
          <w:color w:val="auto"/>
        </w:rPr>
        <w:t>Gibraltar</w:t>
      </w:r>
      <w:r>
        <w:rPr>
          <w:rFonts w:ascii="Times New Roman" w:cs="Times New Roman" w:eastAsia="Times New Roman" w:hAnsi="Times New Roman"/>
          <w:sz w:val="18"/>
          <w:szCs w:val="18"/>
          <w:color w:val="auto"/>
        </w:rPr>
        <w:t>”), for the purpose of amending Item 9.01 of that certain Current Report on Form 8-K filed by Gibraltar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2, 2026 (the “</w:t>
      </w:r>
      <w:r>
        <w:rPr>
          <w:rFonts w:ascii="Times New Roman" w:cs="Times New Roman" w:eastAsia="Times New Roman" w:hAnsi="Times New Roman"/>
          <w:sz w:val="18"/>
          <w:szCs w:val="18"/>
          <w:u w:val="single" w:color="auto"/>
          <w:color w:val="auto"/>
        </w:rPr>
        <w:t>Original Report</w:t>
      </w:r>
      <w:r>
        <w:rPr>
          <w:rFonts w:ascii="Times New Roman" w:cs="Times New Roman" w:eastAsia="Times New Roman" w:hAnsi="Times New Roman"/>
          <w:sz w:val="18"/>
          <w:szCs w:val="18"/>
          <w:color w:val="auto"/>
        </w:rPr>
        <w:t>”), in which Gibraltar reported, among other events, the completion of the acquisition of all of the issued and outstanding equity interests of Arundel Square Garden, LLC, a Delaware limited liability company (“</w:t>
      </w:r>
      <w:r>
        <w:rPr>
          <w:rFonts w:ascii="Times New Roman" w:cs="Times New Roman" w:eastAsia="Times New Roman" w:hAnsi="Times New Roman"/>
          <w:sz w:val="18"/>
          <w:szCs w:val="18"/>
          <w:u w:val="single" w:color="auto"/>
          <w:color w:val="auto"/>
        </w:rPr>
        <w:t>Arundel</w:t>
      </w:r>
      <w:r>
        <w:rPr>
          <w:rFonts w:ascii="Times New Roman" w:cs="Times New Roman" w:eastAsia="Times New Roman" w:hAnsi="Times New Roman"/>
          <w:sz w:val="18"/>
          <w:szCs w:val="18"/>
          <w:color w:val="auto"/>
        </w:rPr>
        <w:t>”). Arundel is the indirect owner of 100% of OmniMax International, LLC (“</w:t>
      </w:r>
      <w:r>
        <w:rPr>
          <w:rFonts w:ascii="Times New Roman" w:cs="Times New Roman" w:eastAsia="Times New Roman" w:hAnsi="Times New Roman"/>
          <w:sz w:val="18"/>
          <w:szCs w:val="18"/>
          <w:u w:val="single" w:color="auto"/>
          <w:color w:val="auto"/>
        </w:rPr>
        <w:t>OmniMax</w:t>
      </w:r>
      <w:r>
        <w:rPr>
          <w:rFonts w:ascii="Times New Roman" w:cs="Times New Roman" w:eastAsia="Times New Roman" w:hAnsi="Times New Roman"/>
          <w:sz w:val="18"/>
          <w:szCs w:val="18"/>
          <w:color w:val="auto"/>
        </w:rPr>
        <w:t>”). As indicated in the Original Report, this Form 8-K/A is being filed to provide the financial statements and pro forma financial information required by Items 9.01(a) and (b) of Form 8-K, which were not previously filed with the Original Report as permitted by the rules of the SEC. Other than as set forth in this Form 8-K/A, the remainder of the Original Report remains unchanged.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OmniMax (a wholly owned indirect subsidiary of Arundel) as of and for the years ended December 31, 2025 and 2024 are filed as Exhibit 99.1 to this Form 8-K/A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of Gibraltar and OmniMax as of and for the year ended December 31, 2025 and the related notes are filed as Exhibit 99.2 to this Form 8-K/A and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00" w:type="dxa"/>
            <w:vAlign w:val="bottom"/>
          </w:tcPr>
          <w:p>
            <w:pPr>
              <w:spacing w:after="0"/>
              <w:rPr>
                <w:sz w:val="20"/>
                <w:szCs w:val="20"/>
                <w:color w:val="auto"/>
              </w:rPr>
            </w:pPr>
          </w:p>
        </w:tc>
      </w:tr>
      <w:tr>
        <w:trPr>
          <w:trHeight w:val="45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Document Description</w:t>
            </w:r>
          </w:p>
        </w:tc>
      </w:tr>
      <w:tr>
        <w:trPr>
          <w:trHeight w:val="176"/>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Audited Financial Statements of OmniMax as of and for the Years Ended December 31, 2025 and 2024</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Unaudited Pro Forma Combined Financial Information of Gibraltar and OmniMax as of and for the Year Ended December 31, 2025</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398"/>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GIBRALTAR INDUSTRIES, INC.</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17,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Joseph A. Lovechio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Joseph A. Lovechio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7"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161163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Report of Independent Auditors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0" w:type="dxa"/>
            <w:vAlign w:val="bottom"/>
          </w:tcPr>
          <w:p>
            <w:pPr>
              <w:spacing w:after="0"/>
              <w:rPr>
                <w:sz w:val="1"/>
                <w:szCs w:val="1"/>
                <w:color w:val="auto"/>
              </w:rPr>
            </w:pPr>
          </w:p>
        </w:tc>
      </w:tr>
      <w:tr>
        <w:trPr>
          <w:trHeight w:val="432"/>
        </w:trPr>
        <w:tc>
          <w:tcPr>
            <w:tcW w:w="4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Operations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2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tcPr>
          <w:p>
            <w:pPr>
              <w:jc w:val="right"/>
              <w:ind w:right="5492"/>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2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591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08685" cy="591185"/>
                    </a:xfrm>
                    <a:prstGeom prst="rect">
                      <a:avLst/>
                    </a:prstGeom>
                    <a:noFill/>
                  </pic:spPr>
                </pic:pic>
              </a:graphicData>
            </a:graphic>
          </wp:anchor>
        </w:drawing>
        <w:t>KPMG LLP</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303 Peachtree Street, N.E.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Atlanta, GA 30308-3210</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OmniMax International,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w:t>
      </w:r>
    </w:p>
    <w:p>
      <w:pPr>
        <w:spacing w:after="0" w:line="22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OmniMax International, LLC and its subsidiaries (the Company), which comprise the consolidated balance sheets as of December 31, 2025 and December 31, 2024, and the related consolidated statements of operations, comprehensive operations, changes in equity, and cash flows for the years then ended, and the related notes to the consolidated financial statements.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2025 and December 31, 2024, and the results of its operations and its cash flows for the years then ended in accordance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for the Consolidated Financial Statements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issued.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 of the Consolidated Financial Statements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KPMG LLP, a Delaware limited liability partnership, and its</w:t>
      </w:r>
    </w:p>
    <w:p>
      <w:pPr>
        <w:ind w:left="3760"/>
        <w:spacing w:after="0" w:line="226" w:lineRule="auto"/>
        <w:rPr>
          <w:sz w:val="20"/>
          <w:szCs w:val="20"/>
          <w:color w:val="auto"/>
        </w:rPr>
      </w:pPr>
      <w:r>
        <w:rPr>
          <w:rFonts w:ascii="Times New Roman" w:cs="Times New Roman" w:eastAsia="Times New Roman" w:hAnsi="Times New Roman"/>
          <w:sz w:val="14"/>
          <w:szCs w:val="14"/>
          <w:color w:val="auto"/>
        </w:rPr>
        <w:t>subsidiaries are part of the KPMG global organization of</w:t>
      </w:r>
    </w:p>
    <w:p>
      <w:pPr>
        <w:ind w:left="3760"/>
        <w:spacing w:after="0" w:line="222" w:lineRule="auto"/>
        <w:rPr>
          <w:sz w:val="20"/>
          <w:szCs w:val="20"/>
          <w:color w:val="auto"/>
        </w:rPr>
      </w:pPr>
      <w:r>
        <w:rPr>
          <w:rFonts w:ascii="Times New Roman" w:cs="Times New Roman" w:eastAsia="Times New Roman" w:hAnsi="Times New Roman"/>
          <w:sz w:val="14"/>
          <w:szCs w:val="14"/>
          <w:color w:val="auto"/>
        </w:rPr>
        <w:t>independent member firms affiliated with KPMG International</w:t>
      </w:r>
    </w:p>
    <w:p>
      <w:pPr>
        <w:ind w:left="3760"/>
        <w:spacing w:after="0"/>
        <w:rPr>
          <w:sz w:val="20"/>
          <w:szCs w:val="20"/>
          <w:color w:val="auto"/>
        </w:rPr>
      </w:pPr>
      <w:r>
        <w:rPr>
          <w:rFonts w:ascii="Times New Roman" w:cs="Times New Roman" w:eastAsia="Times New Roman" w:hAnsi="Times New Roman"/>
          <w:sz w:val="14"/>
          <w:szCs w:val="14"/>
          <w:color w:val="auto"/>
        </w:rPr>
        <w:t>Limited, a private English company limited by guarantee.</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172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220" cy="377190"/>
                    </a:xfrm>
                    <a:prstGeom prst="rect">
                      <a:avLst/>
                    </a:prstGeom>
                    <a:noFill/>
                  </pic:spPr>
                </pic:pic>
              </a:graphicData>
            </a:graphic>
          </wp:anchor>
        </w:drawing>
        <w:t>In performing an audit in accordance with GAAS, we:</w:t>
      </w:r>
    </w:p>
    <w:p>
      <w:pPr>
        <w:spacing w:after="0" w:line="225" w:lineRule="exact"/>
        <w:rPr>
          <w:sz w:val="20"/>
          <w:szCs w:val="20"/>
          <w:color w:val="auto"/>
        </w:rPr>
      </w:pPr>
    </w:p>
    <w:p>
      <w:pPr>
        <w:ind w:left="840" w:hanging="319"/>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840" w:right="340" w:hanging="319"/>
        <w:spacing w:after="0" w:line="266"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ind w:left="840" w:right="260" w:hanging="319"/>
        <w:spacing w:after="0" w:line="266"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1"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10,757</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allowances of $695 and $663 in 2025 and 2024,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98,890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199,985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60,978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62,143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2,679</w:t>
            </w:r>
          </w:p>
        </w:tc>
      </w:tr>
      <w:tr>
        <w:trPr>
          <w:trHeight w:val="257"/>
        </w:trPr>
        <w:tc>
          <w:tcPr>
            <w:tcW w:w="8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671,175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461,917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39,580</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88,443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599,780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393,310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investors/SVP owners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69,190</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781,670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543,667</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(289,914)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(5,404)</w:t>
            </w:r>
          </w:p>
        </w:tc>
      </w:tr>
      <w:tr>
        <w:trPr>
          <w:trHeight w:val="27"/>
        </w:trPr>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(81,750)</w:t>
            </w:r>
          </w:p>
        </w:tc>
      </w:tr>
      <w:tr>
        <w:trPr>
          <w:trHeight w:val="256"/>
        </w:trPr>
        <w:tc>
          <w:tcPr>
            <w:tcW w:w="8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liabilities and member's deficit</w:t>
            </w:r>
          </w:p>
        </w:tc>
        <w:tc>
          <w:tcPr>
            <w:tcW w:w="240" w:type="dxa"/>
            <w:vAlign w:val="bottom"/>
            <w:tcBorders>
              <w:top w:val="single" w:sz="8" w:color="auto"/>
              <w:bottom w:val="single" w:sz="8" w:color="auto"/>
            </w:tcBorders>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671,175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461,917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482,184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general (excluding depreciation and 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53,354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42,683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28,939</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charges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16,233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38,495</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(56,365)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(33,117)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(9,922)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from continuing operations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(16,817)</w:t>
            </w:r>
          </w:p>
        </w:tc>
        <w:tc>
          <w:tcPr>
            <w:tcW w:w="220" w:type="dxa"/>
            <w:vAlign w:val="bottom"/>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(17,802)</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(6,781)</w:t>
            </w:r>
          </w:p>
        </w:tc>
      </w:tr>
      <w:tr>
        <w:trPr>
          <w:trHeight w:val="257"/>
        </w:trPr>
        <w:tc>
          <w:tcPr>
            <w:tcW w:w="8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(17,802</w:t>
            </w:r>
          </w:p>
        </w:tc>
        <w:tc>
          <w:tcPr>
            <w:tcW w:w="220" w:type="dxa"/>
            <w:vAlign w:val="bottom"/>
            <w:tcBorders>
              <w:bottom w:val="single" w:sz="8" w:color="CCEEFF"/>
            </w:tcBorders>
            <w:gridSpan w:val="2"/>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(18,793)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340" w:right="2680"/>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CONSOLIDATED STATEMENTS OF COMPREHENSIVE OPERATIONS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liability adjustments, net of tax (provision) benefit of $0 in all periods presented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on derivatives, net of tax (provision) benefit of $0 in all periods presented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 Other Comprehensive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Pension Plan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Gain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(18,793)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(76,553)</w:t>
            </w:r>
          </w:p>
        </w:tc>
        <w:tc>
          <w:tcPr>
            <w:tcW w:w="0" w:type="dxa"/>
            <w:vAlign w:val="bottom"/>
          </w:tcPr>
          <w:p>
            <w:pPr>
              <w:spacing w:after="0"/>
              <w:rPr>
                <w:sz w:val="1"/>
                <w:szCs w:val="1"/>
                <w:color w:val="auto"/>
              </w:rPr>
            </w:pPr>
          </w:p>
        </w:tc>
      </w:tr>
      <w:tr>
        <w:trPr>
          <w:trHeight w:val="149"/>
        </w:trPr>
        <w:tc>
          <w:tcPr>
            <w:tcW w:w="322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Other comprehensive (loss) income,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183"/>
        </w:trPr>
        <w:tc>
          <w:tcPr>
            <w:tcW w:w="3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of tax</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(17,802)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(17,802)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(11,910)</w:t>
            </w:r>
          </w:p>
        </w:tc>
        <w:tc>
          <w:tcPr>
            <w:tcW w:w="0" w:type="dxa"/>
            <w:vAlign w:val="bottom"/>
          </w:tcPr>
          <w:p>
            <w:pPr>
              <w:spacing w:after="0"/>
              <w:rPr>
                <w:sz w:val="1"/>
                <w:szCs w:val="1"/>
                <w:color w:val="auto"/>
              </w:rPr>
            </w:pPr>
          </w:p>
        </w:tc>
      </w:tr>
      <w:tr>
        <w:trPr>
          <w:trHeight w:val="148"/>
        </w:trPr>
        <w:tc>
          <w:tcPr>
            <w:tcW w:w="322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Other comprehensive (loss) income, net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1,503</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(560)</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w:t>
            </w:r>
          </w:p>
        </w:tc>
        <w:tc>
          <w:tcPr>
            <w:tcW w:w="0" w:type="dxa"/>
            <w:vAlign w:val="bottom"/>
          </w:tcPr>
          <w:p>
            <w:pPr>
              <w:spacing w:after="0"/>
              <w:rPr>
                <w:sz w:val="1"/>
                <w:szCs w:val="1"/>
                <w:color w:val="auto"/>
              </w:rPr>
            </w:pPr>
          </w:p>
        </w:tc>
      </w:tr>
      <w:tr>
        <w:trPr>
          <w:trHeight w:val="183"/>
        </w:trPr>
        <w:tc>
          <w:tcPr>
            <w:tcW w:w="3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tax</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201,658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(307,716)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(2,868)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(1,298</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(110,495)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(17,802)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net loss to net cash (used in)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42,683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130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(13,913)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(17,088)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(1,674)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(2,556)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(6,321)</w:t>
            </w:r>
          </w:p>
        </w:tc>
      </w:tr>
      <w:tr>
        <w:trPr>
          <w:trHeight w:val="27"/>
        </w:trPr>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(6,609)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Millennium Metals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(69,742)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(10,177)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Hancock Enterprises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(107,694)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Nu-Ray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(72,901)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 of a business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(190,772)</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(repayments) on revolving credit facilities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12,938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(30,538)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on term loans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(4,073)</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(204,579)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term loans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385,880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(11,910)</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(76,554)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Breakage fees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(3,715)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shareholders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(590)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(943)</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194,565</w:t>
            </w: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63,549</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7"/>
        </w:trPr>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(2,876)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13,633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w:t>
            </w:r>
          </w:p>
        </w:tc>
      </w:tr>
      <w:tr>
        <w:trPr>
          <w:trHeight w:val="27"/>
        </w:trPr>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10,757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Income taxes paid, net</w:t>
            </w:r>
          </w:p>
        </w:tc>
        <w:tc>
          <w:tcPr>
            <w:tcW w:w="24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2,512</w:t>
            </w:r>
          </w:p>
        </w:tc>
        <w:tc>
          <w:tcPr>
            <w:tcW w:w="200" w:type="dxa"/>
            <w:vAlign w:val="bottom"/>
          </w:tcPr>
          <w:p>
            <w:pPr>
              <w:spacing w:after="0"/>
              <w:rPr>
                <w:sz w:val="15"/>
                <w:szCs w:val="15"/>
                <w:color w:val="auto"/>
              </w:rPr>
            </w:pPr>
          </w:p>
        </w:tc>
        <w:tc>
          <w:tcPr>
            <w:tcW w:w="3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396</w:t>
            </w:r>
          </w:p>
        </w:tc>
      </w:tr>
      <w:tr>
        <w:trPr>
          <w:trHeight w:val="21"/>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Interest paid, net</w:t>
            </w:r>
          </w:p>
        </w:tc>
        <w:tc>
          <w:tcPr>
            <w:tcW w:w="240" w:type="dxa"/>
            <w:vAlign w:val="bottom"/>
            <w:tcBorders>
              <w:bottom w:val="single" w:sz="8" w:color="auto"/>
            </w:tcBorders>
            <w:gridSpan w:val="2"/>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right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53,471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32,943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69"/>
        </w:trPr>
        <w:tc>
          <w:tcPr>
            <w:tcW w:w="8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Borrowings on revolving credit facilities</w:t>
            </w:r>
          </w:p>
        </w:tc>
        <w:tc>
          <w:tcPr>
            <w:tcW w:w="24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81"/>
              <w:spacing w:after="0" w:line="169" w:lineRule="exact"/>
              <w:rPr>
                <w:sz w:val="20"/>
                <w:szCs w:val="20"/>
                <w:color w:val="auto"/>
              </w:rPr>
            </w:pPr>
            <w:r>
              <w:rPr>
                <w:rFonts w:ascii="Times New Roman" w:cs="Times New Roman" w:eastAsia="Times New Roman" w:hAnsi="Times New Roman"/>
                <w:sz w:val="18"/>
                <w:szCs w:val="18"/>
                <w:b w:val="1"/>
                <w:bCs w:val="1"/>
                <w:color w:val="auto"/>
              </w:rPr>
              <w:t>70,020</w:t>
            </w:r>
          </w:p>
        </w:tc>
        <w:tc>
          <w:tcPr>
            <w:tcW w:w="3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51,062</w:t>
            </w: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Repayments on revolving credit facilities</w:t>
            </w:r>
          </w:p>
        </w:tc>
        <w:tc>
          <w:tcPr>
            <w:tcW w:w="240" w:type="dxa"/>
            <w:vAlign w:val="bottom"/>
            <w:tcBorders>
              <w:bottom w:val="single" w:sz="8" w:color="auto"/>
            </w:tcBorders>
            <w:gridSpan w:val="2"/>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right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(57,082</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b w:val="1"/>
                <w:bCs w:val="1"/>
                <w:u w:val="single" w:color="auto"/>
                <w:color w:val="auto"/>
                <w:w w:val="73"/>
              </w:rPr>
              <w:t>)</w:t>
            </w:r>
          </w:p>
        </w:tc>
        <w:tc>
          <w:tcPr>
            <w:tcW w:w="360" w:type="dxa"/>
            <w:vAlign w:val="bottom"/>
            <w:tcBorders>
              <w:bottom w:val="single" w:sz="8" w:color="auto"/>
            </w:tcBorders>
            <w:shd w:val="clear" w:color="auto" w:fill="CCEEFF"/>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(81,600)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OMNIMAX INTERNATIONAL, LLC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ind w:right="5900" w:firstLine="8"/>
        <w:spacing w:after="0" w:line="503" w:lineRule="auto"/>
        <w:tabs>
          <w:tab w:leader="none" w:pos="6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Operations and Summary of Significant Accounting Policies </w:t>
      </w:r>
      <w:r>
        <w:rPr>
          <w:rFonts w:ascii="Times New Roman" w:cs="Times New Roman" w:eastAsia="Times New Roman" w:hAnsi="Times New Roman"/>
          <w:sz w:val="18"/>
          <w:szCs w:val="18"/>
          <w:b w:val="1"/>
          <w:bCs w:val="1"/>
          <w:u w:val="single" w:color="auto"/>
          <w:color w:val="auto"/>
        </w:rPr>
        <w:t>Nature of Operations and Organization</w:t>
      </w:r>
    </w:p>
    <w:p>
      <w:pPr>
        <w:ind w:firstLine="324"/>
        <w:spacing w:after="0" w:line="258" w:lineRule="auto"/>
        <w:rPr>
          <w:sz w:val="20"/>
          <w:szCs w:val="20"/>
          <w:color w:val="auto"/>
        </w:rPr>
      </w:pPr>
      <w:r>
        <w:rPr>
          <w:rFonts w:ascii="Times New Roman" w:cs="Times New Roman" w:eastAsia="Times New Roman" w:hAnsi="Times New Roman"/>
          <w:sz w:val="18"/>
          <w:szCs w:val="18"/>
          <w:color w:val="auto"/>
        </w:rPr>
        <w:t>OmniMax International, LLC (the "Company") is a producer of residential building products including aluminum, steel, vinyl and copper roof drainage products. In addition, the Company sells an extensive line of accessory products, including roofing and siding hardware, trim parts and roof drainage accessories. The Company sells its products to a wide range of customers, including distributors, contractors, and home improvement retailers. The Company's manufacturing and distribution network consists of 16 strategically located facilities in North America. The Company's sales volumes have historically been higher in the second and third quarters due to the seasonal demand of the building products markets 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Consolidation</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On October 8, 2020, OmniMax Holdings, Inc. ("Holdings") and OmniMax International, Inc. ("International") were acquired by certain investment funds owned by Strategic Value Partners LLC ("SVP"). The acquisition was completed via consummation of the Agreement and Plan of Merger (the "Merger"), dated as of August 17, 2020, by and among Golders Hill Park LLC ("Parent"), Bloomsbury Square LLC (“Merger Sub”) an affiliate of SVP, Holdings and International, a wholly owned subsidiary of Holdings. In connection with the Merger Agreement, Holdings and International were merged with and into Merger Sub (with Merger Sub surviving the mergers) which was later renamed OmniMax International, LLC. The acquisition required the application of the purchase method of accounting under U.S. generally accepted accounting principles.</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conformity with U.S. generally accepted accounting principles and include the accounts of the Company and all its subsidiaries. All significant intercompany accounts and transactions have been eliminated in consolidation.</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completed the sale of its Outdoor Living reporting unit. The process was completed in multiple transactions beginning with the sale of its North American licensing rights for the Knotwood business unit in December of 2023. In January of 2024, the Company completed the sale of Knotwood inventory and fixed assets to the same buyer. On February 26, 2024, the Company finalized the sale of the assets and liabilities of its Alumawood and Equinox product lines. The results of Outdoor Living are included in loss from discontinued operations, net of tax on the consolidated statements of operations for the year ended December 31, 2024. See Note 13 for additional information.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 and Assumptions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may affect the reported amounts of certain assets, liabilities, revenues and expenses and disclosure of contingencies in the Company's consolidated financial statements. Although these estimates and assumptions are based on the Company's knowledge of current events and actions the Company may take in the future, actual results could ultimately differ from those estimates and assumptions, including changes due to the uncertainty in the current economic environment and the differences could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initial maturity of three months or less to be cash equivalents. Certain book cash overdrafts of the Company have been netted with positive cash balances held with the same financial institutions. In the event the balance of checks written, but not presented to banks exceeds the total cash balance at the respective bank, these amounts are shown as current liabilities within accounts payable on the consolidated balance sheet and the change in that balance is included in cash flow from operations on the consolidated statements of cash flows. No book cash overdrafts are included in accounts payable as of December 31, 2025 or December 31, 2024.</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340" w:right="4960" w:hanging="287"/>
        <w:spacing w:after="0" w:line="503" w:lineRule="auto"/>
        <w:tabs>
          <w:tab w:leader="none" w:pos="73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Operations and Summary of Significant Accounting Policies (continued) </w:t>
      </w:r>
      <w:r>
        <w:rPr>
          <w:rFonts w:ascii="Times New Roman" w:cs="Times New Roman" w:eastAsia="Times New Roman" w:hAnsi="Times New Roman"/>
          <w:sz w:val="18"/>
          <w:szCs w:val="18"/>
          <w:b w:val="1"/>
          <w:bCs w:val="1"/>
          <w:u w:val="single" w:color="auto"/>
          <w:color w:val="auto"/>
        </w:rPr>
        <w:t>Accounts Receivable</w:t>
      </w: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comprised of trade accounts receivable and other receivables, and is net of volume rebates. Trade accounts receivable are recorded at net realizable value and totaled $54.8 million and $39.2 million as of December 31, 2025 and December 31, 2024, respectively. This value includes an allowance for estimated uncollectible accounts, returns and allowances, cash discounts and other adjustments. The allowance for doubtful accounts is based on historical experience, the level of past-due accounts based on the contractual terms of the receivables, current economic conditions and an evaluation of the customers' credit worthiness. Accounts receivable are charged against the allowance for doubtful accounts when it is probable that the receivable will not be recovered. Activity in the allowance for doubtful accounts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Charges to cost and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and other activity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determined using the first-in, first-out method or net realizable value. Cost of manufactured inventory includes labor and manufacturing overhead. Net realizable value is the estimated selling price in the ordinary course of business, less reasonably predictable costs of completion, disposal and transportation. Abnormal amounts of idle facility expense, freight, handling costs, and wasted materials are recorded as current period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Property, plant, and equipment is recorded at cost. Cost of property, plant, and equipment acquired in a business combination is recorded at fair value based on the age and current replacement cost for similar assets on the date of the acquisition. Repair and maintenance costs are generally expensed unless they extend the useful lives of assets. Depreciation of property, plant, and equipment is computed principally on the straight-line method over the estimated useful lives of the assets ranging from 3 years to 37 years for equipment. When events or changes in circumstances indicate that the carrying value of an asset may not be recoverable, management assesses whether there has been an impairment in the value of the asset by comparing the estimated undiscounted future cash flows expected to result from the use of the asset and its eventual disposition to the carrying amount of the asset. If the expected future cash flows are less than the carrying amount of the asset, an impairment loss is recognized based on the excess of the asset's carrying value over its fair value. Fair value is estimated based on discounted cash flows, independent appraisals or comparable market transactions.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right="5060" w:firstLine="8"/>
        <w:spacing w:after="0" w:line="503" w:lineRule="auto"/>
        <w:tabs>
          <w:tab w:leader="none" w:pos="62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Operations and Summary of Significant Accounting Policies (continued) </w:t>
      </w:r>
      <w:r>
        <w:rPr>
          <w:rFonts w:ascii="Times New Roman" w:cs="Times New Roman" w:eastAsia="Times New Roman" w:hAnsi="Times New Roman"/>
          <w:sz w:val="18"/>
          <w:szCs w:val="18"/>
          <w:b w:val="1"/>
          <w:bCs w:val="1"/>
          <w:u w:val="single" w:color="auto"/>
          <w:color w:val="auto"/>
        </w:rPr>
        <w:t>Goodwill and Intangible Assets</w:t>
      </w:r>
    </w:p>
    <w:p>
      <w:pPr>
        <w:ind w:firstLine="3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identifiable intangible assets acquired. Goodwill has been assigned to one reporting unit, primarily based upon the nature of discrete businesses comprising the Company's operations. Goodwill is not amortized and is tested for impairment annually on the first day of our fourth quarter or more frequently if events or circumstances indicate the potential for impairment. The Company may first assess qualitative factors in order to determine if goodwill and indefinite-lived intangible assets are impaired. If through the qualitative assessment it is determined that it is more likely than not that goodwill and indefinite-lived assets are not impaired, no further testing is required. If it is determined more likely than not that goodwill and indefinite-lived assets are impaired, or if the Company elects not to first assess qualitative factors, the Company’s impairment testing continues with the estimation of the fair value of the reporting unit. The implied fair value of goodwill is determined by estimating the fair value of the reporting units and allocating such value to the tangible and identifiable intangible assets of each reporting unit. The Company's fair value estimate is based upon estimates of the future cash flows of the reporting units and market valuations of comparable companies. Significant judgments are made in estimating the future cash flows of the reporting units and determining comparable companies upon which fair values of the Company's reporting units are based. No goodwill impairment charges were recorded in continuing operations during fiscal years 2025 or 2024.</w:t>
      </w:r>
    </w:p>
    <w:p>
      <w:pPr>
        <w:spacing w:after="0" w:line="19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recognized intangible assets, apart from goodwill, acquired in business combinations and resulting from certain shareholder transactions, at fair value on the date of the transactions. Indefinite lived intangible assets are not amortized, but are tested for impairment annually, or more frequently if events or circumstances indicate the potential for impairment. The Company amortizes its intangible assets with finite lives over their useful lives based upon the pattern in which the economic benefits of the intangible assets are recognized. If that pattern cannot be determined, a straight-line amortization method is used. Intangible assets with finite and indefinite lives are tested for impairment when there are indications that the carrying amount of an intangible asset may not be recoverable. The Company utilizes an income approach to estimate the fair value of its definite and indefinite lived intangible assets to test for impairment. No intangible asset impairment charges were recorded in continuing operations for fiscal years 2025 or 2024. See Note 4 for further disclosures related to goodwill and other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Under the asset and liability method, deferred income taxes are recognized for the tax consequences of "temporary differences" by applying enacted statutory tax rates applicable for future years to differences between financial statement and tax bases of existing assets and liabilities. Valuation allowances are established if the Company believes it is more likely than not that some or all of the deferred tax assets will not be realized. A tax benefit is not recognized unless the Company concludes that it is more likely than not that the benefit will be sustained on audit by the taxing authority based solely on the technical merits of the associated tax position. If the recognition threshold is met, a tax benefit is recognized and measured as the largest amount of the tax benefit that in the Company's judgment is greater than 50 percent likely to be realized. Interest and penalties related to unrecognized tax positions are recorded in provision for (benefit from) income taxes in the accompanying consolidated statements of operations. See Note 8 for further disclosures related to 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Instruments and Risk Management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fair value based on a hierarchy disclosure framework that prioritizes and ranks the level of market price observability used in measuring assets and liabilities at fair value.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and Summary of Significant Accounting Policies (continued)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Market price observability is impacted by a number of factors, including the type of asset or liability and their characteristics. This hierarchy prioritizes the inputs into three broad levels as follows: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225" w:lineRule="exact"/>
        <w:rPr>
          <w:sz w:val="20"/>
          <w:szCs w:val="20"/>
          <w:color w:val="auto"/>
        </w:rPr>
      </w:pPr>
    </w:p>
    <w:p>
      <w:pPr>
        <w:ind w:left="1140" w:right="40" w:hanging="647"/>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accounts payable and accrued expenses approximate their fair values because of the relatively short-term maturities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is recognized when the Company satisfies the performance obligation by transferring control over goods or services to a customer. The amount of revenue recognized is measured as the consideration the Company expects to receive in exchange for those goods or services pursuant to a contract or standard terms and conditions with the customer. A contract exists once the Company receives and accepts a purchase order. The Company does not recognize revenue in cases where collectability is not probable, and defers the recognition until collection is probable or payment is received. The Company generates revenue from the manufacture of metal and vinyl products sold to the residential repair and remodel markets primarily in North America. Sales are recorded by the Company at the point in time when title and control have been transferred to the customer. Title generally passes to the customer upon shipment or specified delivery, and the risk of loss upon damage, theft or destruction of the equipment is the responsibility of the customer or a designated third-party carrier. Control passes and the performance obligation is satisfied at the point of the stated shipping or delivery terms.</w:t>
      </w:r>
    </w:p>
    <w:p>
      <w:pPr>
        <w:spacing w:after="0" w:line="1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amount of consideration the Company receives and the revenue recognized varies with certain rebates and discounts the Company may offer to customers. Estimates for sales incentives are made at the time of sale and are revised, as necessary, for any changes in the estimate or final settlement. These sales incentives are recorded and presented as a reduction of revenue.</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warranties on certain products that assure the products meet the agreed-upon specification. The warranty periods differ depending on the product, but generally range from one year to limited lifetime warranties. The Company provides accruals for warranties based on historical experience and expectations of future occurrence. Warranty costs are recorded as a component of cost of goods sold and are classified as accrued expenses or other liabilities depending on the timing of expected payments.</w:t>
      </w:r>
    </w:p>
    <w:p>
      <w:pPr>
        <w:spacing w:after="0" w:line="180" w:lineRule="exact"/>
        <w:rPr>
          <w:sz w:val="20"/>
          <w:szCs w:val="20"/>
          <w:color w:val="auto"/>
        </w:rPr>
      </w:pPr>
    </w:p>
    <w:p>
      <w:pPr>
        <w:jc w:val="center"/>
        <w:ind w:right="380"/>
        <w:spacing w:after="0" w:line="312" w:lineRule="auto"/>
        <w:rPr>
          <w:sz w:val="20"/>
          <w:szCs w:val="20"/>
          <w:color w:val="auto"/>
        </w:rPr>
      </w:pPr>
      <w:r>
        <w:rPr>
          <w:rFonts w:ascii="Times New Roman" w:cs="Times New Roman" w:eastAsia="Times New Roman" w:hAnsi="Times New Roman"/>
          <w:sz w:val="17"/>
          <w:szCs w:val="17"/>
          <w:color w:val="auto"/>
        </w:rPr>
        <w:t>Sales and other related taxes are excluded from the transaction price. Shipping and handling costs associated with freight are accounted for as fulfillment costs and are expensed at the time revenue is recognized in cost of goods sold within the Company’s consolidated statements of operations.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Operations and Summary of Significant Accounting Policies (continued)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following tables reflect net sales by geographic areas for the years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34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2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9,873</w:t>
            </w: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517,584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revenues from external customers by markets for the years indicated:</w:t>
      </w:r>
    </w:p>
    <w:p>
      <w:pPr>
        <w:spacing w:after="0" w:line="22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637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Customer/Markets</w:t>
            </w:r>
          </w:p>
        </w:tc>
        <w:tc>
          <w:tcPr>
            <w:tcW w:w="712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rPr>
              <w:t>Primary Products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Original</w:t>
            </w:r>
          </w:p>
        </w:tc>
        <w:tc>
          <w:tcPr>
            <w:tcW w:w="71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Expanded metal for producers of air filters, appliances, HVAC &amp; automotive components</w:t>
            </w:r>
          </w:p>
        </w:tc>
        <w:tc>
          <w:tcPr>
            <w:tcW w:w="2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6,105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7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Manufacturers</w:t>
            </w:r>
          </w:p>
        </w:tc>
        <w:tc>
          <w:tcPr>
            <w:tcW w:w="7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(OEMs)</w:t>
            </w:r>
          </w:p>
        </w:tc>
        <w:tc>
          <w:tcPr>
            <w:tcW w:w="7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Home</w:t>
            </w:r>
          </w:p>
        </w:tc>
        <w:tc>
          <w:tcPr>
            <w:tcW w:w="71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Rain carrying systems, roofing accessories, windows, doors and shower enclosures</w:t>
            </w:r>
          </w:p>
        </w:tc>
        <w:tc>
          <w:tcPr>
            <w:tcW w:w="24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203,171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220,374</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Improvement</w:t>
            </w:r>
          </w:p>
        </w:tc>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Retailers</w:t>
            </w:r>
          </w:p>
        </w:tc>
        <w:tc>
          <w:tcPr>
            <w:tcW w:w="7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Metal coils, rain carrying systems and roofing accessories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517,584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482,184</w:t>
            </w:r>
          </w:p>
        </w:tc>
      </w:tr>
      <w:tr>
        <w:trPr>
          <w:trHeight w:val="20"/>
        </w:trPr>
        <w:tc>
          <w:tcPr>
            <w:tcW w:w="1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Shipping and Handling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all shipping and handling charges as cost of goods sold in the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Advertising Costs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all advertising costs as incurred in selling and general expenses in the consolidated statements of operations. Advertising costs for the years ended December 31, 2025 and December 31, 2024 were $1.4 million and $1.1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Translation of Foreign Currencies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of non-U.S. subsidiaries are translated to U.S. dollars at the rate of exchange in effect on the balance sheet date. Income and expenses are translated to U.S. dollars at the weighted average rates of exchange prevailing during the year. Foreign currency gains and losses resulting from the remeasurement of inter-company amounts that are not of a long-term investment nature into local currencies and certain indebtedness of foreign subsidiaries denominated in U.S. dollars are included in other income, net. No significant amounts were recorded in the financial statements for the years ended December 31,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among other things, additional disclosures primarily related to the income tax rate reconciliation and income taxes paid. The expanded annual disclosures are effective for our year ending December 31, 2026. The Company is currently evaluating the impact that ASU 2023-09 will have on our consolidated financial statements and whether we will apply the standard prospectively or retrospectively.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 of the allowance for obsolete inventory, were comprised of:</w:t>
            </w:r>
          </w:p>
        </w:tc>
        <w:tc>
          <w:tcPr>
            <w:tcW w:w="13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Aluminum and steel coil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39,196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disclosed aluminum and steel coil inventory separately, as it represents inventory that can be classified as raw material, work in process or finished product. Aluminum and steel coil represent both painted and bare coil. Inventories are net of related reserves totaling $1.9 million and $1.5 million at December 31, 2025 and December 31, 2024,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Activity in the allowance for obsolete inventory was as follows:</w:t>
            </w: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Charges to costs and expenses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240" w:type="dxa"/>
            <w:vAlign w:val="bottom"/>
          </w:tcPr>
          <w:p>
            <w:pPr>
              <w:spacing w:after="0"/>
              <w:rPr>
                <w:sz w:val="24"/>
                <w:szCs w:val="24"/>
                <w:color w:val="auto"/>
              </w:rPr>
            </w:pPr>
          </w:p>
        </w:tc>
        <w:tc>
          <w:tcPr>
            <w:tcW w:w="344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24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61,489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(including software amortization expenses) for the years ended December 31, 2025 and December 31, 2024 was $9.3 million and $7.7 million, respectively.</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unamortized computer software costs totaling $4.7 million and $4.3 million, respectively, were recorded in property, plant and equipment. Depreciation expense above includes amortization of capitalized computer software costs which is not material in any period presented.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left="1935" w:right="845"/>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the carrying amount of goodwill for the years ended December 31, 2025 and December 31, 2024 are as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Hancock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Nu-Ray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accumulated impairment losses exist as of December 31, 2025 or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Impairment 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15" w:hanging="615"/>
        <w:spacing w:after="0"/>
        <w:tabs>
          <w:tab w:leader="none" w:pos="615" w:val="left"/>
        </w:tabs>
        <w:numPr>
          <w:ilvl w:val="0"/>
          <w:numId w:val="8"/>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71,660</w:t>
      </w:r>
    </w:p>
    <w:p>
      <w:pPr>
        <w:spacing w:after="0" w:line="27" w:lineRule="exact"/>
        <w:rPr>
          <w:rFonts w:ascii="Times New Roman" w:cs="Times New Roman" w:eastAsia="Times New Roman" w:hAnsi="Times New Roman"/>
          <w:sz w:val="18"/>
          <w:szCs w:val="18"/>
          <w:color w:val="242424"/>
        </w:rPr>
      </w:pPr>
    </w:p>
    <w:p>
      <w:pPr>
        <w:ind w:left="615"/>
        <w:spacing w:after="0"/>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13,452</w:t>
      </w:r>
    </w:p>
    <w:p>
      <w:pPr>
        <w:spacing w:after="0" w:line="9" w:lineRule="exact"/>
        <w:rPr>
          <w:rFonts w:ascii="Times New Roman" w:cs="Times New Roman" w:eastAsia="Times New Roman" w:hAnsi="Times New Roman"/>
          <w:sz w:val="18"/>
          <w:szCs w:val="18"/>
          <w:color w:val="242424"/>
        </w:rPr>
      </w:pPr>
    </w:p>
    <w:p>
      <w:pPr>
        <w:ind w:left="775"/>
        <w:spacing w:after="0"/>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(390)</w:t>
      </w:r>
    </w:p>
    <w:p>
      <w:pPr>
        <w:spacing w:after="0" w:line="18" w:lineRule="exact"/>
        <w:rPr>
          <w:sz w:val="20"/>
          <w:szCs w:val="20"/>
          <w:color w:val="auto"/>
        </w:rPr>
      </w:pPr>
    </w:p>
    <w:p>
      <w:pPr>
        <w:ind w:left="615" w:hanging="615"/>
        <w:spacing w:after="0"/>
        <w:tabs>
          <w:tab w:leader="none" w:pos="615" w:val="left"/>
        </w:tabs>
        <w:numPr>
          <w:ilvl w:val="0"/>
          <w:numId w:val="9"/>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84,722</w:t>
      </w:r>
    </w:p>
    <w:p>
      <w:pPr>
        <w:spacing w:after="0" w:line="27" w:lineRule="exact"/>
        <w:rPr>
          <w:rFonts w:ascii="Times New Roman" w:cs="Times New Roman" w:eastAsia="Times New Roman" w:hAnsi="Times New Roman"/>
          <w:sz w:val="18"/>
          <w:szCs w:val="18"/>
          <w:color w:val="242424"/>
        </w:rPr>
      </w:pPr>
    </w:p>
    <w:p>
      <w:pPr>
        <w:ind w:left="615"/>
        <w:spacing w:after="0"/>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29,161</w:t>
      </w:r>
    </w:p>
    <w:p>
      <w:pPr>
        <w:spacing w:after="0" w:line="9" w:lineRule="exact"/>
        <w:rPr>
          <w:rFonts w:ascii="Times New Roman" w:cs="Times New Roman" w:eastAsia="Times New Roman" w:hAnsi="Times New Roman"/>
          <w:sz w:val="18"/>
          <w:szCs w:val="18"/>
          <w:color w:val="242424"/>
        </w:rPr>
      </w:pPr>
    </w:p>
    <w:p>
      <w:pPr>
        <w:ind w:left="695"/>
        <w:spacing w:after="0"/>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6,414</w:t>
      </w:r>
    </w:p>
    <w:p>
      <w:pPr>
        <w:spacing w:after="0" w:line="9" w:lineRule="exact"/>
        <w:rPr>
          <w:rFonts w:ascii="Times New Roman" w:cs="Times New Roman" w:eastAsia="Times New Roman" w:hAnsi="Times New Roman"/>
          <w:sz w:val="18"/>
          <w:szCs w:val="18"/>
          <w:color w:val="242424"/>
        </w:rPr>
      </w:pPr>
    </w:p>
    <w:p>
      <w:pPr>
        <w:ind w:left="835"/>
        <w:spacing w:after="0"/>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391</w:t>
      </w:r>
    </w:p>
    <w:p>
      <w:pPr>
        <w:spacing w:after="0" w:line="18" w:lineRule="exact"/>
        <w:rPr>
          <w:sz w:val="20"/>
          <w:szCs w:val="20"/>
          <w:color w:val="auto"/>
        </w:rPr>
      </w:pPr>
    </w:p>
    <w:p>
      <w:pPr>
        <w:ind w:left="515" w:hanging="515"/>
        <w:spacing w:after="0"/>
        <w:tabs>
          <w:tab w:leader="none" w:pos="5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9305" w:space="720"/>
            <w:col w:w="1215"/>
          </w:cols>
          <w:pgMar w:left="320" w:top="117" w:right="339" w:bottom="1440" w:gutter="0" w:footer="0" w:header="0"/>
        </w:sectPr>
      </w:pPr>
    </w:p>
    <w:p>
      <w:pPr>
        <w:spacing w:after="0" w:line="2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annually on the first day of the fourth quarter or more frequently if events or circumstances indicate the potential for impairment. For impairment testing purposes, one reporting unit, excluding discontinued operations, has been identified primarily based upon the nature of discrete businesses comprising the Company's operations. As of December 31, 2025 and December 31, 2024, goodwill has been allocated to one identified reporting unit.</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may first assess qualitative factors in order to determine if goodwill and indefinite-lived intangible assets are impaired. If through the qualitative assessment it is determined that it is more likely than not that goodwill and indefinite-lived assets are not impaired, no further testing is required. If it is determined more likely than not that goodwill and indefinite-lived assets are impaired, or if the Company elects not to first assess qualitative factors, the Company’s impairment testing continues and the fair value of the reporting unit is compared to its carrying value. If the carrying amount of a reporting unit exceeds the implied fair value, an impairment loss is recognized equal to the excess of the carrying amount over its implied fair value. The Company determines the fair value of its reporting unit based on an income approach, using a discounted cash flow analysis, and a market valuation approach, using market multiples of publicly traded guideline companies. The discounted cash flow analysis requires various judgmental assumptions about future cash flows, growth rates, and the weighted average cost of capital.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Indefinite-life intangibles, such as trade names, are tested annually for impairment on the first day of the fourth quarter or more frequently if events or circumstances indicate the potential for impairment. An impairment analysis is performed and the fair value of the asset is compared to its carrying value. The Company determines the fair value of the asset based on an income approach, using a discounted cash flow analysis. The discounted cash flow analysis requires various judgmental assumptions about future cash flows, growth rates, and the weighted average cost of capital.</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Various assumptions, including assumptions regarding future cash flows, market multiples, growth rates and discount rates, are made in the assessment of goodwill and indefinite-life assets for impairment. The assumptions about future cash flows and growth rates are generally based on the current business plans of the reporting unit. Discount rate assumptions are based on an assessment of the risk inherent in the future cash flows of the reporting unit. These assumptions and estimates are complex and often subjective. They are sensitive to changes in underlying assumptions and can be affected by a variety of factors, including external factors such as industry and economic trends, and internal factors such as changes in the Company's business strategy and internal forecasts. No impairment charges were recorded based upon impairment testing performed in 2025 or 2024.</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(146,549)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215,914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(113,170)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102,744</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not subject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18,810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18,810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345,012</w:t>
            </w:r>
          </w:p>
        </w:tc>
        <w:tc>
          <w:tcPr>
            <w:tcW w:w="26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(146,549)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198,463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229,314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116,144</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February 2025, the Company recognized customer relationships totaling $62.2 million and tradenames totaling $1.9 million related to the acquisition of Hancock Enterprises, LLC. In October of 2025, the Company recognized customer relationships totaling $48.0 million and tradenames totaling $3.5 million related to the acquisition of Nu-Ray Metals. In December 2024, the Company recognized customer relationships totaling $39.2 million and tradenames totaling $2.1 million related to the acquisition of Millennium Metals. See Note 7 for further discussion. The aggregate amortization expense for intangible assets for the year ended December 31, 2025 and the year ended December 31, 2024 was $33.4 million and $21.2 million, respectively. Based on the carrying value of identified intangible assets recorded at December 31, 2025, and assuming no subsequent impairment of the underlying assets, the aggregate annual amortization expense for the next 5 years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 of</w:t>
            </w:r>
          </w:p>
        </w:tc>
      </w:tr>
      <w:tr>
        <w:trPr>
          <w:trHeight w:val="216"/>
        </w:trPr>
        <w:tc>
          <w:tcPr>
            <w:tcW w:w="38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45"/>
        </w:trPr>
        <w:tc>
          <w:tcPr>
            <w:tcW w:w="38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1"/>
                <w:szCs w:val="21"/>
                <w:color w:val="auto"/>
              </w:rPr>
            </w:pPr>
          </w:p>
        </w:tc>
      </w:tr>
      <w:tr>
        <w:trPr>
          <w:trHeight w:val="216"/>
        </w:trPr>
        <w:tc>
          <w:tcPr>
            <w:tcW w:w="3800" w:type="dxa"/>
            <w:vAlign w:val="bottom"/>
          </w:tcPr>
          <w:p>
            <w:pPr>
              <w:spacing w:after="0"/>
              <w:rPr>
                <w:sz w:val="18"/>
                <w:szCs w:val="18"/>
                <w:color w:val="auto"/>
              </w:rPr>
            </w:pPr>
          </w:p>
        </w:tc>
        <w:tc>
          <w:tcPr>
            <w:tcW w:w="6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60" w:type="dxa"/>
            <w:vAlign w:val="bottom"/>
            <w:gridSpan w:val="3"/>
            <w:shd w:val="clear" w:color="auto" w:fill="CCEEFF"/>
          </w:tcPr>
          <w:p>
            <w:pPr>
              <w:ind w:left="6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34,059</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30,353</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25,642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20,673</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16,981</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51,945</w:t>
            </w:r>
          </w:p>
        </w:tc>
      </w:tr>
      <w:tr>
        <w:trPr>
          <w:trHeight w:val="256"/>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12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800" w:type="dxa"/>
            <w:vAlign w:val="bottom"/>
          </w:tcPr>
          <w:p>
            <w:pPr>
              <w:spacing w:after="0"/>
              <w:rPr>
                <w:sz w:val="24"/>
                <w:szCs w:val="24"/>
                <w:color w:val="auto"/>
              </w:rPr>
            </w:pPr>
          </w:p>
        </w:tc>
        <w:tc>
          <w:tcPr>
            <w:tcW w:w="6000" w:type="dxa"/>
            <w:vAlign w:val="bottom"/>
          </w:tcPr>
          <w:p>
            <w:pPr>
              <w:jc w:val="right"/>
              <w:ind w:right="401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0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obligations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3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Midcap term loans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591,925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395,000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16,062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620,925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411,062</w:t>
            </w:r>
          </w:p>
        </w:tc>
        <w:tc>
          <w:tcPr>
            <w:tcW w:w="100" w:type="dxa"/>
            <w:vAlign w:val="bottom"/>
            <w:shd w:val="clear" w:color="auto" w:fill="CCEEFF"/>
          </w:tcPr>
          <w:p>
            <w:pPr>
              <w:spacing w:after="0"/>
              <w:rPr>
                <w:sz w:val="18"/>
                <w:szCs w:val="18"/>
                <w:color w:val="auto"/>
              </w:rPr>
            </w:pPr>
          </w:p>
        </w:tc>
      </w:tr>
      <w:tr>
        <w:trPr>
          <w:trHeight w:val="194"/>
        </w:trPr>
        <w:tc>
          <w:tcPr>
            <w:tcW w:w="8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5,960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2,963</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(15,185)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(14,789)</w:t>
            </w:r>
          </w:p>
        </w:tc>
      </w:tr>
      <w:tr>
        <w:trPr>
          <w:trHeight w:val="257"/>
        </w:trPr>
        <w:tc>
          <w:tcPr>
            <w:tcW w:w="86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top w:val="single" w:sz="8" w:color="auto"/>
              <w:bottom w:val="single" w:sz="8" w:color="auto"/>
            </w:tcBorders>
            <w:shd w:val="clear" w:color="auto" w:fill="CCEEFF"/>
          </w:tcPr>
          <w:p>
            <w:pPr>
              <w:jc w:val="right"/>
              <w:ind w:right="74"/>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599,780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393,310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December 31, 2025, the aggregate scheduled maturities of debt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Year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34,960</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568,085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8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620,925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consists of (i) $395.0 million of Midcap term loans (ii) $122.0 million of delayed draw Midcap term loan borrowings and (iii) $79.0 million of incremental Midcap term loan borrowings and (iv) a $85.0 million PNC asset based lending facility (ABL), subject to borrowing base availability. On December 6, 2024, the Company borrowed $395.0 million of term loans and $8.0 million on the ABL credit facility. Proceeds from the initial term loan were issued net of a $9.1 million original issue discount and the Company incurred $5.2 million of direct and incremental debt issuance costs, including legal fees and bank fees, related to the credit agreement. These amounts were capitalized and reported as debt issuance costs reducing long-term debt in the condensed consolidated balance sheet. Proceeds from the Midcap Credit Agreement were used to repay in full the $187.9 million in term loans and $46.4 million in revolving commitments outstanding on the KKR Credit Agreement along with accrued interest of $4.2 million and breakage fees of $3.7 million. Additionally, $71.7 million of proceeds were used for the purchase of Millennium Metals and $77.5 million was paid to investors as a return of capital and pay down of intercompany balances.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21, 2025, the Company borrowed $122.0 million of delayed draw term loans under the Credit Agreement, net of a $1.2 million original issue discount.These proceeds combined with $1.0 million of borrowings on the ABL revolving credit facility were used to fund the acquisition of Hancock Enterprises, LLC ("Hancock") for an aggregate purchase price of $107.7 million and $2.0 million to fund cash for the operations of Hancock. Concurrently with the acquisition, the Company made a distribution to shareholders totaling $12.5 million as a return of capital and pay down of intercompany balances. .</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24, 2025, the Company entered into the first amendment to the Credit Agreement which included incremental term loan borrowings of $79.0 million. Proceeds of the incremental term loans were issued net of a $1.6 million original issue discount. The proceeds from the incremental term loans were used to fund the acquisition of Nu-Ray Metals for an aggregate purchase price of $71.6 million and $1.5 million to fund cash for the operations of Nu-Ray and $1.9 million of transaction fees.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Indebtedness (Continued)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maturity date of all term loan borrowings is December 6, 2030 and the maturity date of the ABL revolving credit facility is December 6, 2029. As of December 31, 2025, outstanding borrowings under the revolving credit facility were $29.0 million and the outstanding principal balance of all term loans totaled $591.9 million. All debt issuance costs are being amortized and recorded in interest expense using the effective interest rate method over the term of the agreement.</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Amortization payments, subject to adjustments in connection with voluntary prepayments and mandatory prepayments, are required to repay the term loan on the last business day of each fiscal quarter, beginning with the fiscal quarter ended June 2025. Amounts under the ABL credit facility may be borrowed, repaid and borrowed until the applicable maturity date. Borrowings under the term loans are subject to mandatory prepayment under certain circumstances including certain asset sales and debt issuances among others.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Midcap term loan bear interest at SOFR plus 5.75% if net leverage, as defined in the agreement, is greater than 3.25x and 5.5% when total net leverage is less than or equal to 3.25x. Term SOFR is subject to a 1.00% floor. For the year-ended December 31, 2025, the interest rate on term loan borrowings averaged 9.9%. Borrowings under the ABL revolving credit facility bore interest at Prime plus 1.0% on ABR loans and SOFR plus 2.0% on SOFR loans, both subject to a 1.00% SOFR floor.</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customary for this type of financing, including but not limited to, financial covenants related to fixed charges and total leverage. The Credit Agreement includes negative covenants that restrict the Company's ability to, among other things, incur additional indebtedness, incur liens, guarantee obligations, pay dividends or make voluntary payment on subordinated debt, engage in mergers and make acquisitions, sell assets, enter into sale leaseback transactions, and engage in certain types of transactions with affiliates. Failure to comply with covenants contained in the Credit Agreement in future periods, if not waived or amended, would result in an event of default. Under an event of default, the lender may reduce the aggregate amount of obligations immediately due and payable or terminate future advances. Any default under the Company's Credit Agreement that results in acceleration of indebtedness or foreclosure on collateral would have a material adverse effect on the Company.</w:t>
      </w:r>
    </w:p>
    <w:p>
      <w:pPr>
        <w:spacing w:after="0" w:line="185"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assets or liabilities or forecasted transactions caused by fluctuations in interest rates. The changes in the fair values of derivatives designated as cash flow hedges are recorded in accumulated other comprehensive income (AOCI) and are reclassified into the line item in our consolidated statements of operations in which the hedged items are recorded in the same period the hedged items affect earnings. The changes in fair values of hedges that are determined to be ineffective are immediately reclassified from AOCI into earnings.</w:t>
      </w:r>
    </w:p>
    <w:p>
      <w:pPr>
        <w:spacing w:after="0" w:line="18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manage our risk to interest rate fluctuations through the use of derivative financial instruments. The Company has entered into interest rate corridor agreements and has designated these instruments as part of the Company’s interest rate cash flow hedging program. The objective of this hedging program is to mitigate the risk of adverse changes in benchmark interest rates on the Company’s future interest payments. The total notional value of derivatives that were designated as cash flow hedges for the Company’s interest rate exposure were $147.0 million as of December 31, 2025. For the years ended December 31, 2025 and December 31, 2024, the pretax impact of changes in the fair value of derivatives designated as cash flow hedges included a loss of $0.6 million and a loss of $1.6 million, respectively, recognized in AOCI. Gains reclassified from AOCI into income during 2025 and 2024 totaled $0.3 million and $2.7 million,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standard valuation models. The significant inputs used in these models are readily available in public markets, or can be derived from observable market transactions, and therefore have been classified as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U.S., certain assets and liabilities are required to be recorded at fair value on a recurring basis. For the Company, the only assets and liabilities that are adjusted to fair value on a recurring basis are derivative financial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 records assets and liabilities at fair value on a nonrecurring basis as required by accounting principles generally accepted in the U.S. Generally, adjustments made to record assets at fair value on a nonrecurring basis are the result of impairment charges. No impairment charges were recorded in the years ended December 31, 2025 or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accounts payable and accrued expenses approximate their fair values because of the relatively short-term maturities of these instruments.</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cash and cash equivalents and trade accounts receivable. The fair value of these financial instruments approximates their carrying value at December 31, 2025 and December 31, 2024. The Company places its cash and cash equivalents with high credit quality institutions. At times, such investments may be in excess of the Federal Deposit Insurance Corporation insurance limit; however, the Company believes that its credit risk exposure is not significant due to the high credit quality of the institutions. The Company routinely assesses the financial strength of its customers, monitors past due balances based on contractual terms, and generally does not require collateral. The Company has a concentration of credit risk with customers in the U.S. home improvement retail and U.S. home improvement contractor industries.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 except share data)</w:t>
      </w:r>
    </w:p>
    <w:p>
      <w:pPr>
        <w:spacing w:after="0" w:line="171" w:lineRule="exact"/>
        <w:rPr>
          <w:sz w:val="20"/>
          <w:szCs w:val="20"/>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24, 2025, the Company completed the acquisition of Hancock Enterprises, LLC ("Hancock") for an aggregate purchase price of $107.7 million. Hancock is a a nationwide leader in miters and other gutter accessories based in Taylor, Michigan. This acquisition strengthens OmniMax’s product offering by expanding its solution set and opens new business opportunities across different products and channels. The acquisition was funded by proceeds from the deferred draw term loan. The results of operations for Hancock have been included in the Company’s consolidated financial statements as of and from the date of the acquisition. The pro forma impacts of the acquisition are not material.</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October 31, 2025, the Company completed the acquisition of Nu-Ray Metal Product Inc. ("Nu-Ray"), for an aggregate purchase price of $71.6 million, less cash on hand. The Company recognized a working capital adjustment receivable of $1.7 million as part of the purchase consideration. This adjustment represents estimated amounts owed from the seller under the terms of the purchase agreement and was recorded in Other current assets in the Consolidated Balance Sheet. The adjustment reduces the accounting purchase price but does not impact the cash paid at closing, as it will be settled subsequent to the acquisition date. Nu-Ray is a regional leader in high-performance roofing accessories and metal panel fabrication with two locations in Puyallup, Washington, and Perris, California. This acquisition strengthens OmniMax’s presence on the West Coast and enhances its comprehensive product portfolio and manufacturing capabilities. The acquisition was funded by incremental term loan borrowings. The results of operations for Nu-Ray have been included in the Company’s consolidated financial statements as of and from the date of the acquisition. The pro forma impacts of the acquisition are not material.</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applied acquisition accounting to the business to allocate the consideration transferred to assets acquired and liabilities assumed based on their estimated fair values at the acquisition date. The allocation of consideration transferred was based on management's judgment after evaluating several factors, including a valuation assessment. The allocation of the purchase price is preliminary as working capital adjustments are still being finalized. As soon as information is finalized, the Company will adjust the preliminary amounts. The finalization of the purchase price allocation is expected to be completed within the measurement period of one year from the acquisition date. Goodwill recognized in connection with the acquisitions is expected to be deductible for income tax purposes. The following table summarizes the purchase price allocation of consideration: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8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Hancock</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Nu-Ray</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5,244</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9,475</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8,963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4,806</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64,150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51,490</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29,161</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6,414</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(6,173)</w:t>
            </w: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(9,104)</w:t>
            </w:r>
          </w:p>
        </w:tc>
      </w:tr>
      <w:tr>
        <w:trPr>
          <w:trHeight w:val="256"/>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December 6, 2024, the Company completed the acquisition of Millennium Metals, Inc ("Millennium") for an aggregate purchase price of $71.7 million. Millennium is a leading manufacturer of residential roofing accessories, headquartered in Jacksonville, Florida. The combined companies will greatly benefit customers of both firms, providing a more extensive product portfolio and a best-in-class service experience. It will operate in a complimentary manner to OmniMax’s residential building and roof drainage products, including its Berger, Flamco and Verde brands. The acquisition was funded by proceeds from the Term Loan, dated December 6, 2024. The results of operations for Millennium have been included in the Company’s consolidated financial statements as of and from the date of the acquisition. The pro forma impacts of the acquisition are not material.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680" w:hanging="672"/>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(continued)</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We applied acquisition accounting to the business to allocate the consideration transferred to assets acquired and liabilities assumed based on their estimated fair values at the acquisition date. The allocation of consideration transferred was based on management's judgment after evaluating several factors, including a valuation assessment. The following table summarizes the purchase price allocation of consideration: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Millennium</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4,112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intangibles</w:t>
            </w: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41,320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13,452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(3,770)</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(3,654)</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160" w:type="dxa"/>
            <w:vAlign w:val="bottom"/>
            <w:vMerge w:val="restart"/>
          </w:tcPr>
          <w:p>
            <w:pPr>
              <w:jc w:val="right"/>
              <w:ind w:right="42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386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6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transactions involving the Company's beneficial ownership occurred in calendar year 2025, which could have resulted in a stock ownership change for purposes of Section 382 of the Internal Revenue Code of 1986, as amended. We are still preparing a detailed Section 382 study for calendar year 2025 to determine if any of our NOL and credit carryovers will be subject to limitation.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provision for (benefit from) income taxes from continuing operations is comprised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340" w:type="dxa"/>
            <w:vAlign w:val="bottom"/>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680" w:type="dxa"/>
            <w:vAlign w:val="bottom"/>
            <w:tcBorders>
              <w:top w:val="single" w:sz="8" w:color="CCEEFF"/>
            </w:tcBorders>
          </w:tcPr>
          <w:p>
            <w:pPr>
              <w:ind w:left="2280"/>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985</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22"/>
                <w:szCs w:val="22"/>
                <w:color w:val="auto"/>
              </w:rPr>
            </w:pPr>
          </w:p>
        </w:tc>
      </w:tr>
      <w:tr>
        <w:trPr>
          <w:trHeight w:val="42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The U.S. and foreign components of loss from continuing operations before income taxes are as follows:</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340" w:type="dxa"/>
            <w:vAlign w:val="bottom"/>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(15,753)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(12,890)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(1,064)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2,148</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(16,817)</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2024, the effective tax rate was (11.8%). The primary driver of the difference between the effective tax rate and the statutory tax rate was the recording of additional valuation allowances. For the year ending December 31, 2025, the effective tax rate is (5.9%). The primary driver of the difference between the effective rate and the statutory tax rate is the recording of additional valuation allowances.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and December 31, 2024, the tax-effected temporary differences from continuing operations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Asset (Liability)</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interest carryforward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33,621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92,887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(89,226)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net liability from continuing operations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the earnings in our UK and Canada subsidiaries to be indefinitely reinvested and, accordingly, recorded no deferred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 has U.S. federal, U.S. state and foreign NOL carry forwards from continuing operations as follows: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0"/>
        </w:trPr>
        <w:tc>
          <w:tcPr>
            <w:tcW w:w="8720" w:type="dxa"/>
            <w:vAlign w:val="bottom"/>
          </w:tcPr>
          <w:p>
            <w:pPr>
              <w:spacing w:after="0"/>
              <w:rPr>
                <w:sz w:val="24"/>
                <w:szCs w:val="24"/>
                <w:color w:val="auto"/>
              </w:rPr>
            </w:pP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NOL</w:t>
            </w:r>
          </w:p>
        </w:tc>
        <w:tc>
          <w:tcPr>
            <w:tcW w:w="2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of</w:t>
            </w:r>
          </w:p>
        </w:tc>
      </w:tr>
      <w:tr>
        <w:trPr>
          <w:trHeight w:val="245"/>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(in millions)</w:t>
            </w:r>
          </w:p>
        </w:tc>
        <w:tc>
          <w:tcPr>
            <w:tcW w:w="10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2026-Indefinite</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 unlimited carry forward</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valuation allowance from continuing operations was $94.3 million and $89.2 million as of December 31, 2025 and December 31, 2024, respectively. In 2025 and 2024, the Company recorded valuation allowances against certain of its deferred tax assets subsequent to analyzing recoverability of its gross asset. The Company analyzed the four sources of taxable income described in ASC 740 and determined that a valuation allowance is required to reduce a portion of its U.S. and foreign deferred tax assets, as it is more likely than not that some portion of the deferred tax assets will not be realized.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December 31, 2024, the Company had no recorded gross unrecognized tax benefits from continuing operations.</w:t>
      </w:r>
    </w:p>
    <w:p>
      <w:pPr>
        <w:spacing w:after="0" w:line="22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state and local jurisdictions, and in the UK and Canada. Under the generally accepted statute of limitations, the Company is not subject to changes in Federal income tax prior to 2022, in state/ local jurisdictions generally prior to 2020 through 2022, in Canada prior to 2017 and in the UK prior to 2022.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accumulated other comprehensive income by component for the years ended December 31, 2025 and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Gain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1,503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There were no net tax effects related to the reclassification as a result of the full valuation allowances in the U.S. and UK. Amounts reclassified from foreign currency translation adjustments component of accumulated other comprehensive income were recorded in loss on sale of a business within the consolidated statement of operations and the tax effects were not significant. There are no tax impacts related to the remainder of the foreign currency translation adjustment component of accumulated other comprehensive income as the earnings of subsidiaries are considered to be permanently invested.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right="8740" w:firstLine="8"/>
        <w:spacing w:after="0" w:line="502" w:lineRule="auto"/>
        <w:tabs>
          <w:tab w:leader="none" w:pos="6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u w:val="single" w:color="auto"/>
          <w:color w:val="auto"/>
        </w:rPr>
        <w:t>Retirement Plans</w:t>
      </w:r>
    </w:p>
    <w:p>
      <w:pPr>
        <w:spacing w:after="0"/>
        <w:rPr>
          <w:sz w:val="20"/>
          <w:szCs w:val="20"/>
          <w:color w:val="auto"/>
        </w:rPr>
      </w:pPr>
      <w:r>
        <w:rPr>
          <w:rFonts w:ascii="Times New Roman" w:cs="Times New Roman" w:eastAsia="Times New Roman" w:hAnsi="Times New Roman"/>
          <w:sz w:val="18"/>
          <w:szCs w:val="18"/>
          <w:i w:val="1"/>
          <w:iCs w:val="1"/>
          <w:color w:val="auto"/>
        </w:rPr>
        <w:t>Defined Benefit</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non-contributory defined benefit pension plan covering substantially all U.S. hourly employees (the U.S. Plan) employed as of April 3, 2010. In addition, the Company maintains a single employer pension plan for its former European Roll Coated Products Limited and Euramax Solutions business (the UK Plan). The Company curtailed the accrual of participant benefits provided under the UK Plan effective March 31, 2009. This curtailment did not affect the timing for the payment of benefits earned under the UK Plan through the curtailment date. In January 2010, the Company's board of directors approved a motion to freeze future benefit accruals under the U.S. Plan. The impact on the Company's projected benefit obligation was not significant. The measurement date for the U.S. and UK plans is the last day of the fiscal year.</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November 2025, the Trustees of the UK Plan entered into a buy-in annuity contract with an insurance company. Under the terms of the contract, the insurer makes monthly payments to the plan equal to the benefits owed to the covered participants. The plan retains the legal obligation to pay benefits to members; therefore, the transaction does not qualify as a settlement. The buy-in annuity is classified as a Level 3 asset in the fair-value hierarchy due to the use of significant unobservable inputs.</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reconciliations of the change in projected benefit obligations and plan assets, the funded status of the Company's defined benefit plans and the amounts recognized in other assets (liabilities) in the Company's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Pr>
          <w:p>
            <w:pPr>
              <w:spacing w:after="0"/>
              <w:rPr>
                <w:sz w:val="19"/>
                <w:szCs w:val="19"/>
                <w:color w:val="auto"/>
              </w:rPr>
            </w:pP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4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UK</w:t>
            </w:r>
          </w:p>
        </w:tc>
        <w:tc>
          <w:tcPr>
            <w:tcW w:w="100" w:type="dxa"/>
            <w:vAlign w:val="bottom"/>
          </w:tcPr>
          <w:p>
            <w:pPr>
              <w:spacing w:after="0"/>
              <w:rPr>
                <w:sz w:val="19"/>
                <w:szCs w:val="19"/>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period</w:t>
            </w:r>
          </w:p>
        </w:tc>
        <w:tc>
          <w:tcPr>
            <w:tcW w:w="1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(658)</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4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end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30,726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13,266</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29,373</w:t>
            </w:r>
          </w:p>
        </w:tc>
      </w:tr>
      <w:tr>
        <w:trPr>
          <w:trHeight w:val="223"/>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 at end of period</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13,464</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1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14,102</w:t>
            </w:r>
          </w:p>
        </w:tc>
        <w:tc>
          <w:tcPr>
            <w:tcW w:w="2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gain on plan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(658)</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4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34,680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14,102</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29,676</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w:t>
            </w: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w:t>
            </w: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800" w:type="dxa"/>
            <w:vAlign w:val="bottom"/>
          </w:tcPr>
          <w:p>
            <w:pPr>
              <w:spacing w:after="0"/>
              <w:rPr>
                <w:sz w:val="24"/>
                <w:szCs w:val="2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8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Pre-tax amounts in accumulated other comprehensive income not yet recognized as components of net periodic pension cost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83"/>
              </w:rPr>
              <w:t>(1,298)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(2,801)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amounts recognized in balance sheets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(1,298)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(2,801)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in accumulated other comprehensive income expected to be recognized as components of net periodic pension costs in 2025 are not material.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Pre-tax amounts recognized in other comprehensive income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Pr>
          <w:p>
            <w:pPr>
              <w:spacing w:after="0"/>
              <w:rPr>
                <w:sz w:val="19"/>
                <w:szCs w:val="19"/>
                <w:color w:val="auto"/>
              </w:rPr>
            </w:pP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4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UK</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6"/>
              </w:rPr>
              <w:t>729</w:t>
            </w: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1,742</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40" w:type="dxa"/>
            <w:vAlign w:val="bottom"/>
          </w:tcPr>
          <w:p>
            <w:pPr>
              <w:spacing w:after="0"/>
              <w:rPr>
                <w:sz w:val="19"/>
                <w:szCs w:val="19"/>
                <w:color w:val="auto"/>
              </w:rPr>
            </w:pPr>
          </w:p>
        </w:tc>
        <w:tc>
          <w:tcPr>
            <w:tcW w:w="11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(486)</w:t>
            </w: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6"/>
              </w:rPr>
              <w:t>243</w:t>
            </w: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1,472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Company expects to contribute $0.7 million and $1.9 million to its U.S. and UK plans, respectively, during fiscal 2026.</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6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Weighted average assumptions used in computing the benefit obligations are as follows: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4500" w:type="dxa"/>
            <w:vAlign w:val="bottom"/>
          </w:tcPr>
          <w:p>
            <w:pPr>
              <w:spacing w:after="0"/>
              <w:rPr>
                <w:sz w:val="21"/>
                <w:szCs w:val="21"/>
                <w:color w:val="auto"/>
              </w:rPr>
            </w:pPr>
          </w:p>
        </w:tc>
        <w:tc>
          <w:tcPr>
            <w:tcW w:w="3120" w:type="dxa"/>
            <w:vAlign w:val="bottom"/>
            <w:gridSpan w:val="4"/>
          </w:tcPr>
          <w:p>
            <w:pPr>
              <w:jc w:val="center"/>
              <w:ind w:left="1954"/>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8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UK</w:t>
            </w:r>
          </w:p>
        </w:tc>
        <w:tc>
          <w:tcPr>
            <w:tcW w:w="300" w:type="dxa"/>
            <w:vAlign w:val="bottom"/>
          </w:tcPr>
          <w:p>
            <w:pPr>
              <w:spacing w:after="0"/>
              <w:rPr>
                <w:sz w:val="19"/>
                <w:szCs w:val="19"/>
                <w:color w:val="auto"/>
              </w:rPr>
            </w:pPr>
          </w:p>
        </w:tc>
        <w:tc>
          <w:tcPr>
            <w:tcW w:w="176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UK</w:t>
            </w:r>
          </w:p>
        </w:tc>
        <w:tc>
          <w:tcPr>
            <w:tcW w:w="16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assumptions</w:t>
            </w:r>
          </w:p>
        </w:tc>
        <w:tc>
          <w:tcPr>
            <w:tcW w:w="1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5.35%</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45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432"/>
        </w:trPr>
        <w:tc>
          <w:tcPr>
            <w:tcW w:w="76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Weighted average assumptions used in computing net periodic pension cost are as follows: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4500" w:type="dxa"/>
            <w:vAlign w:val="bottom"/>
          </w:tcPr>
          <w:p>
            <w:pPr>
              <w:spacing w:after="0"/>
              <w:rPr>
                <w:sz w:val="21"/>
                <w:szCs w:val="21"/>
                <w:color w:val="auto"/>
              </w:rPr>
            </w:pPr>
          </w:p>
        </w:tc>
        <w:tc>
          <w:tcPr>
            <w:tcW w:w="3120" w:type="dxa"/>
            <w:vAlign w:val="bottom"/>
            <w:gridSpan w:val="4"/>
          </w:tcPr>
          <w:p>
            <w:pPr>
              <w:jc w:val="center"/>
              <w:ind w:left="1954"/>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8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UK</w:t>
            </w:r>
          </w:p>
        </w:tc>
        <w:tc>
          <w:tcPr>
            <w:tcW w:w="300" w:type="dxa"/>
            <w:vAlign w:val="bottom"/>
          </w:tcPr>
          <w:p>
            <w:pPr>
              <w:spacing w:after="0"/>
              <w:rPr>
                <w:sz w:val="19"/>
                <w:szCs w:val="19"/>
                <w:color w:val="auto"/>
              </w:rPr>
            </w:pPr>
          </w:p>
        </w:tc>
        <w:tc>
          <w:tcPr>
            <w:tcW w:w="176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UK</w:t>
            </w:r>
          </w:p>
        </w:tc>
        <w:tc>
          <w:tcPr>
            <w:tcW w:w="16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assumptions</w:t>
            </w:r>
          </w:p>
        </w:tc>
        <w:tc>
          <w:tcPr>
            <w:tcW w:w="1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2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6.00%</w:t>
            </w:r>
          </w:p>
        </w:tc>
        <w:tc>
          <w:tcPr>
            <w:tcW w:w="3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r>
        <w:trPr>
          <w:trHeight w:val="548"/>
        </w:trPr>
        <w:tc>
          <w:tcPr>
            <w:tcW w:w="4500" w:type="dxa"/>
            <w:vAlign w:val="bottom"/>
          </w:tcPr>
          <w:p>
            <w:pPr>
              <w:spacing w:after="0"/>
              <w:rPr>
                <w:sz w:val="24"/>
                <w:szCs w:val="24"/>
                <w:color w:val="auto"/>
              </w:rPr>
            </w:pP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28</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Employee Benefit Plans (continued)</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pension cost for the plans includes the following components: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4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UK</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 (income)</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(832)</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6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Company defined benefit net periodic pension (income) cost</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(613)</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Multi-employer benefit expense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3"/>
              </w:rPr>
              <w:t>2,163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7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1,550</w:t>
            </w:r>
          </w:p>
        </w:tc>
        <w:tc>
          <w:tcPr>
            <w:tcW w:w="2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actual asset allocation for the plans as of December 31, 2025 and December 31, 2024, and the target asset allocation for the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140" w:type="dxa"/>
            <w:vAlign w:val="bottom"/>
          </w:tcPr>
          <w:p>
            <w:pPr>
              <w:spacing w:after="0"/>
              <w:rPr>
                <w:sz w:val="19"/>
                <w:szCs w:val="19"/>
                <w:color w:val="auto"/>
              </w:rPr>
            </w:pP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3"/>
              </w:rPr>
              <w:t>U.S.</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UK</w:t>
            </w:r>
          </w:p>
        </w:tc>
        <w:tc>
          <w:tcPr>
            <w:tcW w:w="300" w:type="dxa"/>
            <w:vAlign w:val="bottom"/>
          </w:tcPr>
          <w:p>
            <w:pPr>
              <w:spacing w:after="0"/>
              <w:rPr>
                <w:sz w:val="19"/>
                <w:szCs w:val="19"/>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UK</w:t>
            </w:r>
          </w:p>
        </w:tc>
        <w:tc>
          <w:tcPr>
            <w:tcW w:w="26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UK</w:t>
            </w:r>
          </w:p>
        </w:tc>
        <w:tc>
          <w:tcPr>
            <w:tcW w:w="16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w:t>
            </w:r>
          </w:p>
        </w:tc>
        <w:tc>
          <w:tcPr>
            <w:tcW w:w="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annuity contracts</w:t>
            </w: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w:t>
            </w:r>
          </w:p>
        </w:tc>
        <w:tc>
          <w:tcPr>
            <w:tcW w:w="17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1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3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To develop the expected long-term rate of return on assets assumption, the Company considered the historical returns and the future expectations for returns for each asset class, as well as the target asset allocation of the pension portfolio.</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investment strategy of the plans is to ensure, over the long-term life of the plan, an adequate pool of assets along with contributions by the Company to support the benefit obligations to participants, retirees, and beneficiaries. The Company desires to achieve market returns consistent with a prudent level of diversification. All investments are made solely in the interest of each plan's participants and beneficiaries for the exclusive purposes of providing benefits to such participants and their beneficiaries and defraying the expenses related to administering the plan. The target allocation of all assets is to reflect proper diversification in order to reduce the potential of a single security or single sector of securities having a disproportionate impact on the portfolio. The Company utilizes an outside investment consultant and investment manager to implement its investment strategy. Plan assets are generally invested in liquid funds that are selected to track broad market equity and bond indices. Investment performance of plan assets is reviewed semi-annually and the investment objectives are evaluated over rolling four year time periods.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U.S. Plan pension assets classified under the appropriate level of fair value hierarchy as of December 31, 2025 and December 31, 2024:</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Equities (b)</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10,602</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10,602</w:t>
            </w:r>
          </w:p>
        </w:tc>
      </w:tr>
      <w:tr>
        <w:trPr>
          <w:trHeight w:val="216"/>
        </w:trPr>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Equities (c)</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394</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23"/>
        </w:trPr>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(d)</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 U.S. Plan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15,535</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14,102</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14,102</w:t>
            </w:r>
          </w:p>
        </w:tc>
      </w:tr>
      <w:tr>
        <w:trPr>
          <w:trHeight w:val="20"/>
        </w:trPr>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40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consists of a short term investment in marketable securities valued at cost.</w:t>
      </w:r>
    </w:p>
    <w:p>
      <w:pPr>
        <w:spacing w:after="0" w:line="27"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equities consist of exchange traded funds valued at closing price on the active market which they are traded.</w:t>
      </w:r>
    </w:p>
    <w:p>
      <w:pPr>
        <w:spacing w:after="0" w:line="9" w:lineRule="exact"/>
        <w:rPr>
          <w:rFonts w:ascii="Times New Roman" w:cs="Times New Roman" w:eastAsia="Times New Roman" w:hAnsi="Times New Roman"/>
          <w:sz w:val="18"/>
          <w:szCs w:val="18"/>
          <w:color w:val="auto"/>
        </w:rPr>
      </w:pPr>
    </w:p>
    <w:p>
      <w:pPr>
        <w:jc w:val="both"/>
        <w:ind w:left="740" w:hanging="408"/>
        <w:spacing w:after="0" w:line="250"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equities consist of mutual funds invested in international equities. The value is based on the net asset value of the fund divided by the number of shares outstanding, which is updated daily. The net asset value is based on quoted market prices for underlying equities. The funds have regularly occurring transactions and regularly available pricing.</w:t>
      </w:r>
    </w:p>
    <w:p>
      <w:pPr>
        <w:spacing w:after="0" w:line="1" w:lineRule="exact"/>
        <w:rPr>
          <w:rFonts w:ascii="Times New Roman" w:cs="Times New Roman" w:eastAsia="Times New Roman" w:hAnsi="Times New Roman"/>
          <w:sz w:val="18"/>
          <w:szCs w:val="18"/>
          <w:color w:val="auto"/>
        </w:rPr>
      </w:pPr>
    </w:p>
    <w:p>
      <w:pPr>
        <w:ind w:left="740" w:right="240" w:hanging="408"/>
        <w:spacing w:after="0" w:line="255"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consist of mutual funds invested in fixed income securities. The value is based on the net asset value of the fund divided by the number of shares outstanding, which is updated daily. The net asset value is based on market value of the underlying assets. The funds have regularly occurring transactions and regularly available pricing.</w:t>
      </w:r>
    </w:p>
    <w:p>
      <w:pPr>
        <w:spacing w:after="0" w:line="18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UK Plan pension assets classified under the appropriate level of fair value hierarchy as of December 31,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Insurance annuity contracts (b)</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34,305</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34,305</w:t>
            </w:r>
          </w:p>
        </w:tc>
        <w:tc>
          <w:tcPr>
            <w:tcW w:w="12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(c)</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22,513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22,513</w:t>
            </w:r>
          </w:p>
        </w:tc>
      </w:tr>
      <w:tr>
        <w:trPr>
          <w:trHeight w:val="27"/>
        </w:trPr>
        <w:tc>
          <w:tcPr>
            <w:tcW w:w="2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UK Plan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29,676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29,676</w:t>
            </w:r>
          </w:p>
        </w:tc>
      </w:tr>
      <w:tr>
        <w:trPr>
          <w:trHeight w:val="21"/>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40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consists of a short term investment in marketable securities valued at cost.</w:t>
      </w:r>
    </w:p>
    <w:p>
      <w:pPr>
        <w:spacing w:after="0" w:line="27" w:lineRule="exact"/>
        <w:rPr>
          <w:rFonts w:ascii="Times New Roman" w:cs="Times New Roman" w:eastAsia="Times New Roman" w:hAnsi="Times New Roman"/>
          <w:sz w:val="18"/>
          <w:szCs w:val="18"/>
          <w:color w:val="auto"/>
        </w:rPr>
      </w:pPr>
    </w:p>
    <w:p>
      <w:pPr>
        <w:ind w:left="740" w:right="320" w:hanging="408"/>
        <w:spacing w:after="0" w:line="250"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annuity contracts are adjusted each reporting period based on changes in interest rates, discount rates, and benefits paid. Since the valuation of this asset involves significant judgment and lacks observable market inputs, the buy-in contract is classified as Level 3 in the fair value hierarchy.</w:t>
      </w:r>
    </w:p>
    <w:p>
      <w:pPr>
        <w:spacing w:after="0" w:line="1" w:lineRule="exact"/>
        <w:rPr>
          <w:rFonts w:ascii="Times New Roman" w:cs="Times New Roman" w:eastAsia="Times New Roman" w:hAnsi="Times New Roman"/>
          <w:sz w:val="18"/>
          <w:szCs w:val="18"/>
          <w:color w:val="auto"/>
        </w:rPr>
      </w:pPr>
    </w:p>
    <w:p>
      <w:pPr>
        <w:ind w:left="740" w:right="120" w:hanging="408"/>
        <w:spacing w:after="0" w:line="290" w:lineRule="auto"/>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funds consist of growth strategy and hedging strategy funds. The value is based on the net asset value of the fund divided by the number of shares outstanding. The net asset value is based on market prices for underlying assets and the funds have regularly available pricing.</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benefit payments expected to be paid to participants from the plans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Expected Benefit</w:t>
            </w:r>
          </w:p>
        </w:tc>
      </w:tr>
      <w:tr>
        <w:trPr>
          <w:trHeight w:val="245"/>
        </w:trPr>
        <w:tc>
          <w:tcPr>
            <w:tcW w:w="31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UK</w:t>
            </w:r>
          </w:p>
        </w:tc>
        <w:tc>
          <w:tcPr>
            <w:tcW w:w="1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733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2,391</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2,451</w:t>
            </w: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2031-2035</w:t>
            </w:r>
          </w:p>
        </w:tc>
        <w:tc>
          <w:tcPr>
            <w:tcW w:w="5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4,605</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13,240</w:t>
            </w:r>
          </w:p>
        </w:tc>
      </w:tr>
      <w:tr>
        <w:trPr>
          <w:trHeight w:val="548"/>
        </w:trPr>
        <w:tc>
          <w:tcPr>
            <w:tcW w:w="3160" w:type="dxa"/>
            <w:vAlign w:val="bottom"/>
          </w:tcPr>
          <w:p>
            <w:pPr>
              <w:spacing w:after="0"/>
              <w:rPr>
                <w:sz w:val="24"/>
                <w:szCs w:val="24"/>
                <w:color w:val="auto"/>
              </w:rPr>
            </w:pPr>
          </w:p>
        </w:tc>
        <w:tc>
          <w:tcPr>
            <w:tcW w:w="552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30</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16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right="7820" w:firstLine="8"/>
        <w:spacing w:after="0" w:line="503" w:lineRule="auto"/>
        <w:tabs>
          <w:tab w:leader="none" w:pos="6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 Multi-employer Benefit Plans</w:t>
      </w: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makes contributions to two multiemployer defined benefit pension plans based on obligations under collective bargaining agreements covering employees in its Feasterville, Pennsylvania and Ivyland, Pennsylvania locations. The risks of participating in these multiemployer plans are different from single-employer plans in the following aspects:</w:t>
      </w:r>
    </w:p>
    <w:p>
      <w:pPr>
        <w:spacing w:after="0" w:line="176" w:lineRule="exact"/>
        <w:rPr>
          <w:sz w:val="20"/>
          <w:szCs w:val="20"/>
          <w:color w:val="auto"/>
        </w:rPr>
      </w:pPr>
    </w:p>
    <w:p>
      <w:pPr>
        <w:ind w:left="940" w:hanging="28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225" w:lineRule="exact"/>
        <w:rPr>
          <w:rFonts w:ascii="Times New Roman" w:cs="Times New Roman" w:eastAsia="Times New Roman" w:hAnsi="Times New Roman"/>
          <w:sz w:val="18"/>
          <w:szCs w:val="18"/>
          <w:color w:val="auto"/>
        </w:rPr>
      </w:pPr>
    </w:p>
    <w:p>
      <w:pPr>
        <w:ind w:left="960" w:right="260" w:hanging="30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61" w:lineRule="exact"/>
        <w:rPr>
          <w:rFonts w:ascii="Times New Roman" w:cs="Times New Roman" w:eastAsia="Times New Roman" w:hAnsi="Times New Roman"/>
          <w:sz w:val="18"/>
          <w:szCs w:val="18"/>
          <w:color w:val="auto"/>
        </w:rPr>
      </w:pPr>
    </w:p>
    <w:p>
      <w:pPr>
        <w:ind w:left="940" w:right="380" w:hanging="28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one of its multiemployer plans, it may be required to pay the plan an amount based on the underfunded status of the plan, referred to as withdrawal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Contributions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Company’s participation in these plans for the annual period ended December 31, 2025, is outlined in the table below. The “EIN/Pension Plan Number” column provides the Employee Identification Number (EIN) and the three-digit plan number, if applicable. Unless otherwise noted, the most recent Pension Protection Act (PPA) zone status available in 2025 and 2024 is for the plan’s year-end as of December 31, 2025 and December 31, 2024, respectively. The zone status is based on information the Company received from the plan and is certified by the plan’s actuary. Among other factors, plans in the red zone are generally less than 65 percent funded, plans in the yellow zone are less than 80 percent funded, and plans in the green zone are at least 80 percent funded. The “FIP/RP Status Pending/Implemented” column indicates plans for which a financial improvement plan (FIP) or a rehabilitation plan (RP) is either pending or has been implemented. This last column lists the expiration date(s) of the collective-bargaining agreement(s) to which the plans are subject. The Company's contributions to the Teamsters Pension Trust Fund of Philadelphia and Vicinity have not exceeded 5% of total plan contributions for the fiscal years 2025 or 2024. The Company's contributions to the Warehouse Employees Local 169 and Employers Joint Pension Fund exceeded 5% in 2025 and2024.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Act Zone Status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Expiration of</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Collective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EIN / Pension</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FIP / RP Status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Surcharge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Bargaining</w:t>
            </w:r>
          </w:p>
        </w:tc>
        <w:tc>
          <w:tcPr>
            <w:tcW w:w="0" w:type="dxa"/>
            <w:vAlign w:val="bottom"/>
          </w:tcPr>
          <w:p>
            <w:pPr>
              <w:spacing w:after="0"/>
              <w:rPr>
                <w:sz w:val="1"/>
                <w:szCs w:val="1"/>
                <w:color w:val="auto"/>
              </w:rPr>
            </w:pPr>
          </w:p>
        </w:tc>
      </w:tr>
      <w:tr>
        <w:trPr>
          <w:trHeight w:val="24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Name</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Plan Number</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Implemented</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Imposed</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Teamsters Pension Trust Fund of Philadelphia</w:t>
            </w:r>
          </w:p>
        </w:tc>
        <w:tc>
          <w:tcPr>
            <w:tcW w:w="1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Vicinity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1511735/001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Implemented</w:t>
            </w:r>
          </w:p>
        </w:tc>
        <w:tc>
          <w:tcPr>
            <w:tcW w:w="1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2/28/2025</w:t>
            </w: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Warehouse Employees Local 169 and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Employers Joint Pension Fund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6230368/001</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Red</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Implemented</w:t>
            </w:r>
          </w:p>
        </w:tc>
        <w:tc>
          <w:tcPr>
            <w:tcW w:w="1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12/15/2029</w:t>
            </w: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1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Trustees of the Teamsters Pension Trust Fund of Philadelphia and Vicinity elected to apply the special amortization and special asset valuation provisions provided for under the Preservation of Access to Care for Medicare Beneficiaries and Pension Relief Act of 2010 (PRA 2010) for Plan Years beginning January 1, 2009 and later. The special amortization rule allows that portion of the plan’s experience loss attributable to net investment losses incurred in the year ended December 31, 2008 to be amortized over a 30-year period rather than a 15-year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one defined contribution retirement and savings plan for U.S. employees, which allows the employees to contribute a percentage of their pretax and/or after-tax income in accordance with specified guidelines. The Company matches a certain percentage of employee pre-tax contributions up to certain limits. Further, the plans provide for discretionary contributions by the Company based on years of service and age. The Company's expense for the years ended December 31, 2025 and December 31, 2024 was $1.3 million and $1.2 million,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340" w:right="7820" w:hanging="332"/>
        <w:spacing w:after="0" w:line="503" w:lineRule="auto"/>
        <w:tabs>
          <w:tab w:leader="none" w:pos="69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 Incentive Plans</w:t>
      </w: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incentive compensation plan that covers key employees. The costs of the plan are computed in accordance with a formula based on EBITDA. Compensation expense recorded under the plan for the years ended December 31, 2025 and December 31, 2024 was $2.2 million and $4.1 million, respectively.</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has granted profit interests in Barnsbury Estate, LLC ("Barnsbury"), a Parent Company of OmniMax International, LLC, to certain members of management under the OmniMax Incentive Interest Plan. The profit interests allow for participation in the future profits and appreciation of Barsnbury above a threshold value determined at the grant date. These profit interest are subject to time-based and event-vested grants. In the event of the sale of the Company, 100% of profit interests will vest upon closing of the deal. Compensation expense related to the profit interests are not material.</w:t>
      </w:r>
    </w:p>
    <w:p>
      <w:pPr>
        <w:spacing w:after="0" w:line="176" w:lineRule="exact"/>
        <w:rPr>
          <w:sz w:val="20"/>
          <w:szCs w:val="20"/>
          <w:color w:val="auto"/>
        </w:rPr>
      </w:pPr>
    </w:p>
    <w:p>
      <w:pPr>
        <w:ind w:left="720" w:hanging="712"/>
        <w:spacing w:after="0"/>
        <w:tabs>
          <w:tab w:leader="none" w:pos="7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leases are classified as operating leases for certain office facilities, manufacturing facilities, forklifts, trucks, trailers and other equipment are now recognized as right-of-use assets and corresponding short-term and long-term lease liabilities. Leases with an initial term of 12 months or less are not recorded on the balance sheet and expense related to these short-term leases was immaterial for fiscal 2025 and 2024. Certain leases include options to renew for an additional term. Where there is reasonable certainty to utilize a renewal option, we include the renewal option in the lease term used to calculate operating lease right-of-use assets and lease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information related to operating leases is as follows (in thousands):</w:t>
            </w: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80" w:type="dxa"/>
            <w:vAlign w:val="bottom"/>
          </w:tcPr>
          <w:p>
            <w:pPr>
              <w:spacing w:after="0"/>
              <w:rPr>
                <w:sz w:val="24"/>
                <w:szCs w:val="24"/>
                <w:color w:val="auto"/>
              </w:rPr>
            </w:pPr>
          </w:p>
        </w:tc>
        <w:tc>
          <w:tcPr>
            <w:tcW w:w="27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728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right of use assets </w:t>
            </w:r>
            <w:r>
              <w:rPr>
                <w:rFonts w:ascii="Times New Roman" w:cs="Times New Roman" w:eastAsia="Times New Roman" w:hAnsi="Times New Roman"/>
                <w:sz w:val="25"/>
                <w:szCs w:val="25"/>
                <w:color w:val="auto"/>
                <w:vertAlign w:val="superscript"/>
              </w:rPr>
              <w:t>1</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83,857</w:t>
            </w: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liabilities, current portion </w:t>
            </w:r>
            <w:r>
              <w:rPr>
                <w:rFonts w:ascii="Times New Roman" w:cs="Times New Roman" w:eastAsia="Times New Roman" w:hAnsi="Times New Roman"/>
                <w:sz w:val="25"/>
                <w:szCs w:val="25"/>
                <w:color w:val="auto"/>
                <w:vertAlign w:val="superscript"/>
              </w:rPr>
              <w:t>2</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Pr>
          <w:p>
            <w:pPr>
              <w:spacing w:after="0"/>
              <w:rPr>
                <w:sz w:val="18"/>
                <w:szCs w:val="18"/>
                <w:color w:val="auto"/>
              </w:rPr>
            </w:pPr>
          </w:p>
        </w:tc>
      </w:tr>
      <w:tr>
        <w:trPr>
          <w:trHeight w:val="223"/>
        </w:trPr>
        <w:tc>
          <w:tcPr>
            <w:tcW w:w="728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Long-term operating lease liabilities </w:t>
            </w:r>
            <w:r>
              <w:rPr>
                <w:rFonts w:ascii="Times New Roman" w:cs="Times New Roman" w:eastAsia="Times New Roman" w:hAnsi="Times New Roman"/>
                <w:sz w:val="25"/>
                <w:szCs w:val="25"/>
                <w:color w:val="auto"/>
                <w:vertAlign w:val="superscript"/>
              </w:rPr>
              <w:t>3</w:t>
            </w:r>
          </w:p>
        </w:tc>
        <w:tc>
          <w:tcPr>
            <w:tcW w:w="1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86,540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91,461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68,171</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Operating lease ROU assets are included in the line item right of use assets in our consolidated balance sheets.</w:t>
      </w:r>
    </w:p>
    <w:p>
      <w:pPr>
        <w:spacing w:after="0" w:line="225" w:lineRule="exact"/>
        <w:rPr>
          <w:sz w:val="20"/>
          <w:szCs w:val="20"/>
          <w:color w:val="auto"/>
        </w:rPr>
      </w:pPr>
    </w:p>
    <w:p>
      <w:pPr>
        <w:ind w:left="820" w:hanging="1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operating lease liabilities is included in the line item accrued expenses in our consolidated balance sheets.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noncurrent portion of operating lease liabilities is included in the line item other liabilities in our consolidated balance sheets.</w:t>
      </w:r>
    </w:p>
    <w:p>
      <w:pPr>
        <w:spacing w:after="0" w:line="22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had operating lease costs of $13.2 million for the year ended December 31, 2025 and $11.2 million for the year ended December 31, 2024. During 2025 and 2024 cash paid for amounts included in the measurement of operating lease liabilities was $11.3 million and $13.5 million, respectively. Operating lease ROU assets obtained in exchange for operating lease obligations were $28.1 million and $4.8 million for the years ended December 31, 2025 and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associated with measurement of our operating lease obligations as of 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60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2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6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584"/>
        </w:trPr>
        <w:tc>
          <w:tcPr>
            <w:tcW w:w="5180" w:type="dxa"/>
            <w:vAlign w:val="bottom"/>
          </w:tcPr>
          <w:p>
            <w:pPr>
              <w:spacing w:after="0"/>
              <w:rPr>
                <w:sz w:val="24"/>
                <w:szCs w:val="24"/>
                <w:color w:val="auto"/>
              </w:rPr>
            </w:pPr>
          </w:p>
        </w:tc>
        <w:tc>
          <w:tcPr>
            <w:tcW w:w="6060" w:type="dxa"/>
            <w:vAlign w:val="bottom"/>
          </w:tcPr>
          <w:p>
            <w:pPr>
              <w:jc w:val="right"/>
              <w:ind w:right="5456"/>
              <w:spacing w:after="0"/>
              <w:rPr>
                <w:sz w:val="20"/>
                <w:szCs w:val="20"/>
                <w:color w:val="auto"/>
              </w:rPr>
            </w:pPr>
            <w:r>
              <w:rPr>
                <w:rFonts w:ascii="Times New Roman" w:cs="Times New Roman" w:eastAsia="Times New Roman" w:hAnsi="Times New Roman"/>
                <w:sz w:val="14"/>
                <w:szCs w:val="14"/>
                <w:color w:val="auto"/>
              </w:rPr>
              <w:t>32</w:t>
            </w:r>
          </w:p>
        </w:tc>
      </w:tr>
      <w:tr>
        <w:trPr>
          <w:trHeight w:val="44"/>
        </w:trPr>
        <w:tc>
          <w:tcPr>
            <w:tcW w:w="518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720" w:hanging="712"/>
        <w:spacing w:after="0"/>
        <w:tabs>
          <w:tab w:leader="none" w:pos="7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(continued)</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leases have remaining lease terms of 1 year to 15 years, inclusive of renewal or termination options that we are reasonably certain to exercise.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our operating lease liabilities as of December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13,324</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13,276</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13,412</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13,513</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108,427</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6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175,632</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84,171</w:t>
            </w:r>
          </w:p>
        </w:tc>
        <w:tc>
          <w:tcPr>
            <w:tcW w:w="100" w:type="dxa"/>
            <w:vAlign w:val="bottom"/>
          </w:tcPr>
          <w:p>
            <w:pPr>
              <w:spacing w:after="0"/>
              <w:rPr>
                <w:sz w:val="19"/>
                <w:szCs w:val="19"/>
                <w:color w:val="auto"/>
              </w:rPr>
            </w:pP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4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71"/>
        </w:trPr>
        <w:tc>
          <w:tcPr>
            <w:tcW w:w="3900" w:type="dxa"/>
            <w:vAlign w:val="bottom"/>
          </w:tcPr>
          <w:p>
            <w:pPr>
              <w:spacing w:after="0"/>
              <w:rPr>
                <w:sz w:val="24"/>
                <w:szCs w:val="24"/>
                <w:color w:val="auto"/>
              </w:rPr>
            </w:pPr>
          </w:p>
        </w:tc>
        <w:tc>
          <w:tcPr>
            <w:tcW w:w="6440" w:type="dxa"/>
            <w:vAlign w:val="bottom"/>
          </w:tcPr>
          <w:p>
            <w:pPr>
              <w:jc w:val="right"/>
              <w:ind w:right="4555"/>
              <w:spacing w:after="0"/>
              <w:rPr>
                <w:sz w:val="20"/>
                <w:szCs w:val="20"/>
                <w:color w:val="auto"/>
              </w:rPr>
            </w:pPr>
            <w:r>
              <w:rPr>
                <w:rFonts w:ascii="Times New Roman" w:cs="Times New Roman" w:eastAsia="Times New Roman" w:hAnsi="Times New Roman"/>
                <w:sz w:val="14"/>
                <w:szCs w:val="14"/>
                <w:color w:val="auto"/>
              </w:rPr>
              <w:t>33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00" w:type="dxa"/>
            <w:vAlign w:val="bottom"/>
            <w:tcBorders>
              <w:bottom w:val="single" w:sz="8" w:color="auto"/>
            </w:tcBorders>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right="8000" w:firstLine="8"/>
        <w:spacing w:after="0" w:line="503" w:lineRule="auto"/>
        <w:tabs>
          <w:tab w:leader="none" w:pos="6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Raw Material Commitments</w:t>
      </w: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Company's primary raw materials are aluminum and steel coil. Because changes in aluminum and steel prices are generally passed through to customers, increases or decreases in aluminum and steel prices generally cause corresponding increases and decreases in reported net sales, causing fluctuations in reported revenues that are unrelated to the level of business activity. Although the Company believes there is sufficient supply in the marketplace to competitively source all of its aluminum and steel needs without reliance on any particular supplier, any major disruption in the supply and/or price of aluminum and steel could have a material adverse effect on the Company's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is currently party to legal proceedings that have arisen in the ordinary course of business. The Company has and will continue to vigorously defend itself in these matters. It is the opinion of the Company's management, based upon information available at this time, that the expected outcome of all matters to which the Company is currently a party, would not reasonably be expected to have a material adverse effect on the consolidated financial position, results of operations or cash flows of the Company taken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Company's operations are subject to federal, state and local environmental laws and regulations, including those concerning the management of pollution and hazardous substances. In connection with the acquisition of the Company from Alumax Inc. (which was acquired by Aluminum Company of America in May 1998, and hereafter referred to as Alumax) on September 25, 1996, the Company was indemnified by Alumax for substantially all of its costs, if any, related to specifically identified environmental matters arising prior to the closing date of the acquisition during the period of time it was owned directly or indirectly by Alumax. Such indemnification includes costs that may ultimately be incurred to contribute to the remediation of eleven specified existing National Priorities List (NPL) sites for which the Company had been named a potentially responsible party under the federal Comprehensive Environmental Response, Compensation, and Liability Act ("CERCLA") as of the closing date of the acquisition from Alumax, as well as certain potential costs for nine sites to which the Company may have sent waste for disposal. The Company does not believe that it has any probable liability for significant environmental claims. Further, the Company believes it to be unlikely that the Company would be required to bear environmental costs in excess of its pro rata share of such costs as a potentially responsible party at any site. Any receivable for recoveries under the indemnification would be recorded separately from the corresponding liability when the environmental claim and related recovery is determined to be probable. In addition, the Company establishes reserves for remedial measures required from time to time at its own facilities. Management believes that the reasonably probable outcomes of these matters will not be material. The Company's reserves, expenditures, and expenses for all environmental exposures were not significant as of any of the dates or for any of periods presented.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Collective Bargaining</w:t>
      </w:r>
    </w:p>
    <w:p>
      <w:pPr>
        <w:spacing w:after="0" w:line="229"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2025, approximately 16.7% of the Company's labor force is represented by collective bargaining agreements. Additionally, as of December 31, 2025, approximately 2.7% of the Company's labor force is covered by a collective bargaining agreement that will expire within one year.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During 2023, the Company committed to a plan to sell its Outdoor Living (“ODL”) reporting unit, which consists of the Alumawood, Equinox and Knotwood product lines. The exit for this reporting unit occurred in multiple transactions that were part of the same plan and decision making process formalized prior to December 31, 2023. The Company received consideration totaling approximately $5.0 million related to the sale of the Knotwood licensing rights on December 14, 2023 and for the subsequent sale of inventory and fixed assets to the same buyer on January 15, 2024. The consideration was paid in installments through June 2024. The Company completed the sale of the Equinox and Alumawood product lines on March 8, 2024 for a sales price of $9.0 million. The Company incurred selling costs of $1.8 million included in the allocation of the purchase price to the disposal group. Losses on the sale of ODL totaled $1.4 million for the year ended December 31, 2024. The results of operations for ODL for the year ended December 31, 2024 are included in loss from discontinued operations, net of tax on the consolidated statements of operations. The Company entered into an agreement to sublease the manufacturing facilities in Perris Valley, CA to the buyer for a period of 17 years. The ROU asset and related liabilities related to the Perris Valley facilities are recorded in continuing operations of the Company.</w:t>
      </w:r>
    </w:p>
    <w:p>
      <w:pPr>
        <w:spacing w:after="0" w:line="19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September of 2023, the Company completed the sale of it Specialty Building Products division which manufactures sidewalls, siding and other exterior components for the towable RV, cargo and manufactured housing markets. The company determined this disposal meets the discontinued operations criteria as the sale represents a strategic shift in exiting a major line of business with major impact on financial results. The Company completed the sale on September 30, 2023 for total consideration of $10.0 million including $8.6 million of cash paid at closing and earnout provisions with a fair value of $1.4 million. In 2024, the Company recorded an additional loss of $1.5 million as it determined that a payout under the earnout provision was not probable and as a result of other immaterial adjustments to the purchase price, which are recorded in loss from discontinued operations, net of tax on the consolidated statements of operations.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the sale of its Fabral business unit on February 24, 2023 for a sales price of $32.5 million. In 2024, final settlement of the working capital and other provisions of the purchase agreement were finalized which resulted in additional losses totaling $2.0 million which was included in loss from discontinued operations, net of tax on the consolidated statements of operations.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above the Company and buyers entered into various transition services and employee leasing agreements, for which the Company provided certain services related to finance and accounting, information technology, human resources, compliance, facilities, legal and development support. The individual transition services agreements cover a period of less than one year. During 2024, the Company recognized approximately $2.7 million in transition services revenue recognized as a reduction in selling and general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assets or liabilities from discontinued operations as of December 31, 2025 or December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(continued)</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There was no income of discontinued operations for the year ended December 31, 2025. The following table summarizes the major line items included in income of discontinued operations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94"/>
        </w:trPr>
        <w:tc>
          <w:tcPr>
            <w:tcW w:w="10020" w:type="dxa"/>
            <w:vAlign w:val="bottom"/>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7,572</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general (excluding 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charges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7"/>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Pretax (loss) income from discontinued operations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on classification as held for sale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Pretax loss on disposal of discontinued operations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4,938</w:t>
            </w:r>
          </w:p>
        </w:tc>
        <w:tc>
          <w:tcPr>
            <w:tcW w:w="8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(loss) income from discontinued operations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0</wp:posOffset>
            </wp:positionV>
            <wp:extent cx="6254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9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There were no cash flows for discontinued operations for the year ended December 31, 2025. The following table summarizes the cash flows for discontinued operations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1"/>
                <w:szCs w:val="21"/>
                <w:color w:val="auto"/>
              </w:rPr>
            </w:pPr>
          </w:p>
        </w:tc>
        <w:tc>
          <w:tcPr>
            <w:tcW w:w="956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94"/>
        </w:trPr>
        <w:tc>
          <w:tcPr>
            <w:tcW w:w="460" w:type="dxa"/>
            <w:vAlign w:val="bottom"/>
          </w:tcPr>
          <w:p>
            <w:pPr>
              <w:spacing w:after="0"/>
              <w:rPr>
                <w:sz w:val="16"/>
                <w:szCs w:val="16"/>
                <w:color w:val="auto"/>
              </w:rPr>
            </w:pPr>
          </w:p>
        </w:tc>
        <w:tc>
          <w:tcPr>
            <w:tcW w:w="9560" w:type="dxa"/>
            <w:vAlign w:val="bottom"/>
          </w:tcPr>
          <w:p>
            <w:pPr>
              <w:spacing w:after="0"/>
              <w:rPr>
                <w:sz w:val="16"/>
                <w:szCs w:val="16"/>
                <w:color w:val="auto"/>
              </w:rPr>
            </w:pP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60" w:type="dxa"/>
            <w:vAlign w:val="bottom"/>
          </w:tcPr>
          <w:p>
            <w:pPr>
              <w:spacing w:after="0"/>
              <w:rPr>
                <w:sz w:val="21"/>
                <w:szCs w:val="21"/>
                <w:color w:val="auto"/>
              </w:rPr>
            </w:pPr>
          </w:p>
        </w:tc>
        <w:tc>
          <w:tcPr>
            <w:tcW w:w="9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0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10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11,218</w:t>
            </w:r>
          </w:p>
        </w:tc>
      </w:tr>
      <w:tr>
        <w:trPr>
          <w:trHeight w:val="432"/>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Related-Party Transactions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Amounts Due to Parent</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cash payments totaling $4.0 million from certain members of management which were collected on behalf of the Company's parent company. As of December 31, 2025, $1.4 million has not been paid and is reflected as a liability on the consolidated balance sheet.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Charges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Other operating charges are comprised of integration and restructuring initiatives, facility closures, acquisition related costs and other operational initiatives.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2025</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other operating charges of $16.2 million are primarily comprised of costs to support strategic initiatives, acquisition related costs and other integration related activities.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Approximately, $5.8 million of professional and legal fees were incurred including consulting costs to support planning initiatives for strategy, procurement, pricing and operational efficiency programs. Additionally, costs were incurred related to acquisition and divestiture activities in the current year including transaction and other costs of approximately $2.9 million related to the acquisitions of Nu-Ray Metals and Hancock Enterprises during the current year.</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Approximately $5.3 million of charges were incurred related to ongoing integration activities related to strategic planning activities, operational and footprint optimization and the ongoing integration of the Hancock and Nu-Ray businesses.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Severance, relocation and other compensation costs of $2.2 million included severance related to cost reduction initiatives during the year and certain retention programs to retain key employees associated with acquisitions and other strategic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other operating charges of $18.1 million are primarily comprised of costs to support strategic initiatives related to the Merger, acquisition related costs and other integration related activities.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Approximately $10.9 million of charges were incurred related to ongoing integration activities after the Merger related to strategic planning activities, operational and footprint optimization and the ongoing integration of the Flamco and Verde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$3.0 million of professional and legal fees were incurred including consulting costs to support planning initiatives for strategy, procurement, pricing and operational efficiency programs. Additionally, legal and advisory costs were incurred related to acquisition and divestiture activities in the current year.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Severance, relocation and other compensation costs of $4.2 million included one time payments to retain key employees, relocation expenses, and consulting costs related to employee benefit plans.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ind w:left="420" w:right="2680"/>
        <w:spacing w:after="0" w:line="268" w:lineRule="auto"/>
        <w:rPr>
          <w:sz w:val="20"/>
          <w:szCs w:val="20"/>
          <w:color w:val="auto"/>
        </w:rPr>
      </w:pPr>
      <w:r>
        <w:rPr>
          <w:rFonts w:ascii="Times New Roman" w:cs="Times New Roman" w:eastAsia="Times New Roman" w:hAnsi="Times New Roman"/>
          <w:sz w:val="18"/>
          <w:szCs w:val="18"/>
          <w:b w:val="1"/>
          <w:bCs w:val="1"/>
          <w:color w:val="auto"/>
        </w:rPr>
        <w:t>OMNIMAX INTERNATIONAL, LLC AND SUBSIDIARIES NOTES TO CONSOLIDATED FINANCIAL STATEMENTS (Continued) (in thousands)</w:t>
      </w:r>
    </w:p>
    <w:p>
      <w:pPr>
        <w:spacing w:after="0" w:line="130" w:lineRule="exact"/>
        <w:rPr>
          <w:sz w:val="20"/>
          <w:szCs w:val="20"/>
          <w:color w:val="auto"/>
        </w:rPr>
      </w:pPr>
    </w:p>
    <w:p>
      <w:pPr>
        <w:ind w:left="680" w:hanging="672"/>
        <w:spacing w:after="0"/>
        <w:tabs>
          <w:tab w:leader="none" w:pos="6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16, 2026, the issuance date of the consolidated financial statements to evaluate whether any such events warrant adjustment to any reported amounts or inclusion of additional disclosure. On February 2, 2026, Gibraltar Industries, Inc. (Nasdaq: ROCK), a leading manufacturer and provider of products and services for the residential, agtech, and infrastructure markets, acquired OmniMax from funds managed by Strategic Value Partners, LLC and its affiliates following receipt of all required regulatory approvals and satisfaction of customary closing conditions. The all-cash transaction was valued at $1.335 billion, subject to customary adjustments. In connection with the acquisition, the Company's Term Loans and ABL facilities were paid in full.</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 2026 (the “Acquisition Date”), Gibraltar Industries, Inc. (“Gibraltar”) completed the previously announced acquisition of OmniMax International, LLC (“OmniMax”). Pursuant to the Securities Purchase Agreement, dated November 16, 2025 (the “Purchase Agreement”), by and among Gibraltar, Barnsbury Estate LLC (“Seller”) and Arundel Square Garden, LLC (“Arundel”), Gibraltar purchased from Seller all of the issued and outstanding equity interests of Arundel, which is the indirect owner of 100% of OmniMax (the “Acquisition”). The all-cash transaction was valued at $1.335 billion, subject to customary adjustments.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will be accounted for as a business combination in accordance with accounting principles generally accepted in the United States of America (“US GAAP”) (pursuant to Accounting Standards Codification Topic 805, Business Combinations (“ASC 805”)), with Gibraltar treated as the “acquirer” and OmniMax treated as the “acquired” company for financial reporting purposes. Gibraltar will control OmniMax as it will beneficially own 100% of the outstanding membership interests in OmniMax. The unaudited pro forma condensed combined financial statements were prepared in accordance with the acquisition method of accounting. Under the acquisition method of accounting, the purchase price is allocated to the identifiable tangible and intangible assets acquired and liabilities assumed based on their respective estimated fair values with any excess purchase price allocated to goodwill. Significant estimates and assumptions were used in determining the preliminary purchase price and the preliminary purchase price allocation reflected in the unaudited pro forma condensed combined financial statements. The process of valuing the net assets of OmniMax immediately prior to the business combination for purposes of presentation within this unaudited pro forma condensed combined financial information is preliminary. As the unaudited pro forma condensed combined financial statements have been prepared based on these preliminary estimates, the final amounts recorded may differ materially from the information presented.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Acquisition, Gibraltar entered into new senior secured term loan facilities in an aggregate principal amount of $1.3 billion (the “Term Loans”), and a new, upsized, senior secured $500 million revolving credit facility (the “Revolving Credit Facility”). Proceeds from the Term Loans, together with borrowings under the Revolving Credit Facility and cash on hand, were used to fund the Acquisition, to refinance certain indebtedness in connection therewith, to pay related fees, costs and expenses and to fund certain upfront fees.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Article 11 of Regulation S-X provides requirements to depict the accounting for the Acquisition (“Transaction Accounting Adjustments”) and the option to present reasonably estimable synergies and other transaction effects that have occurred or are reasonably expected to occur (“Management’s Adjustments”). Gibraltar has elected not to present Management’s Adjustments in the unaudited pro forma condensed combined financial statements. The results set forth in the unaudited pro forma condensed combined financial information include adjustments that give effect to events that are directly attributable to the Acquisition.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effect to the Acquisition and the debt financing (see Note 6 for further details) as if they were consummated on December 31, 2025, and combines the audited consolidated balance sheet of Gibraltar as of December 31, 2025 with the audited consolidated balance sheet of OmniMax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gives effect to the Acquisition and the debt financing (see Note 6 for further details) as if they were consummated on January 1, 2025, the first day of Gibraltar’s fiscal year 2025, and combines the audited consolidated statement of operations of Gibraltar for the year ended December 31, 2025 with the audited consolidated statement of operations of OmniMax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unaudited pro forma condensed combined financial information has been prepared using the following financial statements:</w:t>
      </w:r>
    </w:p>
    <w:p>
      <w:pPr>
        <w:spacing w:after="0" w:line="225" w:lineRule="exact"/>
        <w:rPr>
          <w:sz w:val="20"/>
          <w:szCs w:val="20"/>
          <w:color w:val="auto"/>
        </w:rPr>
      </w:pPr>
    </w:p>
    <w:p>
      <w:pPr>
        <w:ind w:left="300" w:hanging="292"/>
        <w:spacing w:after="0" w:line="261"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Gibraltar’s audited consolidated financial statements, and the related notes thereto, as of and for the year ended December 31, 2025 on Form 10-K filed with the Securities and Exchange Commission on February 26, 2026; and</w:t>
      </w:r>
    </w:p>
    <w:p>
      <w:pPr>
        <w:ind w:left="300" w:hanging="292"/>
        <w:spacing w:after="0" w:line="260"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OmniMax’s audited consolidated financial statements, and the related notes thereto, as of and for the year ended December 31, 2025 included in this Current Report on Form 8-K.</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condensed financial statements should be read in conjunction with Gibraltar’s and OmniMax’s historical financial statements described above, and the accompanying notes to the unaudited pro forma combined condensed financial statements, which describe the assumptions and estimates underlying the adjustments set forth therein. The pro forma adjustments, which management believes are reasonable under the circumstances, are preliminary and are based upon available information and certain assumptions described in the accompanying notes to the unaudited pro forma condensed combined financial information. Accordingly, the actual financial condition or performance of Gibraltar following completion of the Acquisition in subsequent periods may differ materially from that which is reflected in the unaudited pro forma combined condensed financial statements. The pro forma adjustments, which are described in the accompanying notes, may be revised as additional information becomes available and is evaluated. Transactions in subsequent periods may differ materially from that which is reflected in the unaudited pro forma combined condensed financial statements. Additionally, the final determination of the purchase consideration and purchase price allocation, upon the completion of the Acquisition, will be based on OmniMax’s net assets as of the Acquisition Date and will depend on a number of factors that cannot be predicted with certainty at this time. Actual results and valuations may differ materially from the assumptions within the accompanying unaudited pro forma condensed combined financial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is for informational purposes only and is not necessarily indicative of the financial position or results of operations that would have been realized if the Acquisition and the debt financing had been completed on the dates set forth above, nor is it indicative of future results or financial position. The unaudited pro forma combined condensed financial statements do not include the realization of any cost savings from operating efficiencies, synergies or other activities, or the recognition of any cost increases or dis-synergies that might result from the Acquisition.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present the unaudited pro forma condensed combined financial statements in a manner that we believe is clear and most useful to the potential users of these unaudited pro forma condensed combined financial statements, we have presented the values contained herein in thousands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GIBRALTAR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 forma</w:t>
            </w:r>
          </w:p>
        </w:tc>
        <w:tc>
          <w:tcPr>
            <w:tcW w:w="9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OmniMax,</w:t>
            </w: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Gibraltar</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0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9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 xml:space="preserve">Note </w:t>
            </w:r>
            <w:r>
              <w:rPr>
                <w:rFonts w:ascii="Times New Roman" w:cs="Times New Roman" w:eastAsia="Times New Roman" w:hAnsi="Times New Roman"/>
                <w:sz w:val="18"/>
                <w:szCs w:val="18"/>
                <w:b w:val="1"/>
                <w:bCs w:val="1"/>
                <w:color w:val="auto"/>
                <w:w w:val="97"/>
              </w:rPr>
              <w:t>8(a)</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115,724</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10,757</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(1,343,786)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1,279,378</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62,073</w:t>
            </w: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120,327</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51,353</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Costs in excess of billings,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26,799</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26,799</w:t>
            </w: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116,770</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128,207</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7,308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56,904</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9,668</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66,572</w:t>
            </w:r>
          </w:p>
        </w:tc>
        <w:tc>
          <w:tcPr>
            <w:tcW w:w="0" w:type="dxa"/>
            <w:vAlign w:val="bottom"/>
          </w:tcPr>
          <w:p>
            <w:pPr>
              <w:spacing w:after="0"/>
              <w:rPr>
                <w:sz w:val="1"/>
                <w:szCs w:val="1"/>
                <w:color w:val="auto"/>
              </w:rPr>
            </w:pPr>
          </w:p>
        </w:tc>
      </w:tr>
      <w:tr>
        <w:trPr>
          <w:trHeight w:val="198"/>
        </w:trPr>
        <w:tc>
          <w:tcPr>
            <w:tcW w:w="2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Assets of discontinued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operations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192,362</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628,886</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199,985</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(1,336,478)</w:t>
            </w:r>
          </w:p>
        </w:tc>
        <w:tc>
          <w:tcPr>
            <w:tcW w:w="10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1,279,378</w:t>
            </w:r>
          </w:p>
        </w:tc>
        <w:tc>
          <w:tcPr>
            <w:tcW w:w="9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130,456</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60,978</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55,355</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83,857</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30,666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415,032</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120,688</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430,824</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109,092</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179,653</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350,347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(g)</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34,464</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18,810</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91,190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(g)</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20,318</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7,204</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(17,838)</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(j)</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1,393,603</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(450,622)</w:t>
            </w:r>
          </w:p>
        </w:tc>
        <w:tc>
          <w:tcPr>
            <w:tcW w:w="10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1,279,378</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108,216</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39,580</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155,807</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42,903</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(6,733)</w:t>
            </w:r>
          </w:p>
        </w:tc>
        <w:tc>
          <w:tcPr>
            <w:tcW w:w="1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 (i), (h)</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in excess of costs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8,879</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Current portion of long-term</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debt</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5,960</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(h)</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13,877</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198"/>
        </w:trPr>
        <w:tc>
          <w:tcPr>
            <w:tcW w:w="2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Liabilities of discontinued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operations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93,120</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93,120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366,022</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88,443</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(12,693)</w:t>
            </w:r>
          </w:p>
        </w:tc>
        <w:tc>
          <w:tcPr>
            <w:tcW w:w="10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13,877</w:t>
            </w:r>
          </w:p>
        </w:tc>
        <w:tc>
          <w:tcPr>
            <w:tcW w:w="9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599,780</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(599,780)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(h)</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1,265,501</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5,116</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1,369</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16,248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(j)</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22,733</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operating lease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46,199</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86,540</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21,386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25,868</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5,538</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(k)</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443,205</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781,670</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(576,239)</w:t>
            </w:r>
          </w:p>
        </w:tc>
        <w:tc>
          <w:tcPr>
            <w:tcW w:w="10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1,279,378</w:t>
            </w:r>
          </w:p>
        </w:tc>
        <w:tc>
          <w:tcPr>
            <w:tcW w:w="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1,928,014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value;</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value;</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201,658</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(201,658)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353,018</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loss)</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831,463</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(307,716)</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322,838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 (i)</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(3,683)</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(4,437)</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4,437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23"/>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at cost</w:t>
            </w:r>
          </w:p>
        </w:tc>
        <w:tc>
          <w:tcPr>
            <w:tcW w:w="1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(230,745)</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(230,745)</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vMerge w:val="restart"/>
            <w:shd w:val="clear" w:color="auto" w:fill="CCEEFF"/>
          </w:tcPr>
          <w:p>
            <w:pPr>
              <w:spacing w:after="0"/>
              <w:rPr>
                <w:sz w:val="17"/>
                <w:szCs w:val="17"/>
                <w:color w:val="auto"/>
              </w:rPr>
            </w:pPr>
          </w:p>
        </w:tc>
        <w:tc>
          <w:tcPr>
            <w:tcW w:w="1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950,398</w:t>
            </w:r>
          </w:p>
        </w:tc>
        <w:tc>
          <w:tcPr>
            <w:tcW w:w="13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(110,495)</w:t>
            </w:r>
          </w:p>
        </w:tc>
        <w:tc>
          <w:tcPr>
            <w:tcW w:w="132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125,617</w:t>
            </w:r>
          </w:p>
        </w:tc>
        <w:tc>
          <w:tcPr>
            <w:tcW w:w="10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1,393,603</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(450,622)</w:t>
            </w:r>
          </w:p>
        </w:tc>
        <w:tc>
          <w:tcPr>
            <w:tcW w:w="10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1,279,378</w:t>
            </w:r>
          </w:p>
        </w:tc>
        <w:tc>
          <w:tcPr>
            <w:tcW w:w="9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GIBRALTAR INDUSTRIES,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tcPr>
          <w:p>
            <w:pPr>
              <w:spacing w:after="0"/>
              <w:rPr>
                <w:sz w:val="21"/>
                <w:szCs w:val="21"/>
                <w:color w:val="auto"/>
              </w:rPr>
            </w:pPr>
          </w:p>
        </w:tc>
        <w:tc>
          <w:tcPr>
            <w:tcW w:w="270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9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10"/>
        </w:trPr>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OmniMax,</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Gibraltar</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8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9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262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8(b)</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Note 6</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1,135,501</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517,584</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1,653,085</w:t>
            </w:r>
          </w:p>
        </w:tc>
        <w:tc>
          <w:tcPr>
            <w:tcW w:w="100" w:type="dxa"/>
            <w:vAlign w:val="bottom"/>
            <w:shd w:val="clear" w:color="auto" w:fill="CCEEFF"/>
          </w:tcPr>
          <w:p>
            <w:pPr>
              <w:spacing w:after="0"/>
              <w:rPr>
                <w:sz w:val="18"/>
                <w:szCs w:val="18"/>
                <w:color w:val="auto"/>
              </w:rPr>
            </w:pP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830,310</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374,159</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8,937</w:t>
            </w: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1,213,406</w:t>
            </w:r>
          </w:p>
        </w:tc>
        <w:tc>
          <w:tcPr>
            <w:tcW w:w="100" w:type="dxa"/>
            <w:vAlign w:val="bottom"/>
          </w:tcPr>
          <w:p>
            <w:pPr>
              <w:spacing w:after="0"/>
              <w:rPr>
                <w:sz w:val="19"/>
                <w:szCs w:val="19"/>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305,191</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143,425</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(8,937)</w:t>
            </w: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439,679</w:t>
            </w:r>
          </w:p>
        </w:tc>
        <w:tc>
          <w:tcPr>
            <w:tcW w:w="100" w:type="dxa"/>
            <w:vAlign w:val="bottom"/>
            <w:shd w:val="clear" w:color="auto" w:fill="CCEEFF"/>
          </w:tcPr>
          <w:p>
            <w:pPr>
              <w:spacing w:after="0"/>
              <w:rPr>
                <w:sz w:val="18"/>
                <w:szCs w:val="18"/>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182,440</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104,930</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23,278</w:t>
            </w: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310,648</w:t>
            </w:r>
          </w:p>
        </w:tc>
        <w:tc>
          <w:tcPr>
            <w:tcW w:w="100" w:type="dxa"/>
            <w:vAlign w:val="bottom"/>
          </w:tcPr>
          <w:p>
            <w:pPr>
              <w:spacing w:after="0"/>
              <w:rPr>
                <w:sz w:val="20"/>
                <w:szCs w:val="20"/>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122,751</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38,495</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(32,215)</w:t>
            </w: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129,031</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(1,747)</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56,310</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(56,365)</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82,096</w:t>
            </w: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(b)</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80,294</w:t>
            </w:r>
          </w:p>
        </w:tc>
      </w:tr>
      <w:tr>
        <w:trPr>
          <w:trHeight w:val="22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(2,078)</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(998)</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(3,076)</w:t>
            </w:r>
          </w:p>
        </w:tc>
      </w:tr>
      <w:tr>
        <w:trPr>
          <w:trHeight w:val="198"/>
        </w:trPr>
        <w:tc>
          <w:tcPr>
            <w:tcW w:w="262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(loss) before taxes from</w:t>
            </w:r>
          </w:p>
        </w:tc>
        <w:tc>
          <w:tcPr>
            <w:tcW w:w="1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126,576</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(16,817)</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24,150</w:t>
            </w:r>
          </w:p>
        </w:tc>
        <w:tc>
          <w:tcPr>
            <w:tcW w:w="8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(82,096)</w:t>
            </w:r>
          </w:p>
        </w:tc>
        <w:tc>
          <w:tcPr>
            <w:tcW w:w="9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51,813</w:t>
            </w:r>
          </w:p>
        </w:tc>
      </w:tr>
      <w:tr>
        <w:trPr>
          <w:trHeight w:val="22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29,020</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985</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6,279</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w:t>
            </w: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(21,345)</w:t>
            </w: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(c)</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14,939</w:t>
            </w:r>
          </w:p>
        </w:tc>
      </w:tr>
      <w:tr>
        <w:trPr>
          <w:trHeight w:val="194"/>
        </w:trPr>
        <w:tc>
          <w:tcPr>
            <w:tcW w:w="2620" w:type="dxa"/>
            <w:vAlign w:val="bottom"/>
            <w:tcBorders>
              <w:top w:val="single" w:sz="8" w:color="CCEEFF"/>
            </w:tcBorders>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from</w:t>
            </w:r>
          </w:p>
        </w:tc>
        <w:tc>
          <w:tcPr>
            <w:tcW w:w="1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97,556</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(17,802)</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17,871</w:t>
            </w:r>
          </w:p>
        </w:tc>
        <w:tc>
          <w:tcPr>
            <w:tcW w:w="8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(60,751)</w:t>
            </w:r>
          </w:p>
        </w:tc>
        <w:tc>
          <w:tcPr>
            <w:tcW w:w="9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36,874</w:t>
            </w:r>
          </w:p>
        </w:tc>
      </w:tr>
      <w:tr>
        <w:trPr>
          <w:trHeight w:val="21"/>
        </w:trPr>
        <w:tc>
          <w:tcPr>
            <w:tcW w:w="2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share from income</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29,875</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29,875</w:t>
            </w: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29,984</w:t>
            </w: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29,984</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2025, Gibraltar entered into the Purchase Agreement with Seller and Arundel. On the Acquisition Date, pursuant to the terms of the Purchase Agreement, Gibraltar purchased 100% of the issued and outstanding equity interests of Arundel, which is the 100% indirect owner of OmniMax, for cash consideration (as further described in Note 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OmniMax’s historical debt was repaid by Gibraltar in connection with the Acquisition (as further described in Note 6). To fund the Acquisition, Gibraltar used a combination of existing cash resources and proceeds from committed debt financing of $1.8 billion (as further described in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related notes are prepared in accordance with Article 11 of Regulation S-X as amended by the final rule, Release No. 33-10786 “Amendments to Financial Disclosures about Acquired and Disposed Businesses”.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will be accounted for under the acquisition method of accounting for business combinations pursuant to the provisions of ASC 805 with Gibraltar treated as the “acquirer” and OmniMax treated as the “acquired” company for financial reporting purposes. Gibraltar will control OmniMax as it will beneficially own 100% of the outstanding membership interests in OmniMax. Under the acquisition method of accounting, the estimated purchase price will be allocated to OmniMax’s assets acquired and liabilities assumed based upon their estimated fair values, using the fair value concepts defined in ASC Topic 820, Fair Value Measurement, at the date of completion of the Acquisition. Any excess purchase price over the preliminary estimate of the fair value of identified assets acquired and liabilities assumed will be recognized as goodwill. Significant judgment is required in determining the preliminary fair values of identified intangible assets, property, plant and equipment, inventories, certain other assets, and assumed liabilities. These preliminary valuations of assets acquired, and liabilities assumed are determined using market, income and cost approaches from the perspective of a market participant, which requires estimates and assumptions including, but not limited to, estimating future cash flows in addition to developing the appropriate market discount rates and obtaining available market pricing for comparable assets. The final valuation may materially change the allocation of the purchase price, which could materially affect the fair values assigned to the assets and liabilities and could result in a material change to the unaudited pro forma condensed combined financial information.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historical audited and unaudited consolidated financial statements of Gibraltar were prepared in accordance with US GAAP and are presented in US dollars. The historical audited consolidated financial statements and unaudited consolidated financial statements of OmniMax were prepared in accordance with US GAAP and shown in US dollars. Certain reclassifications have been made in order to align the historical presentation of OmniMax to Gibraltar. Refer to Note 8 for these reclassification adjustments.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effect to the Acquisition and the debt financing as if they were consummated on December 31, 2025 and combines the audited consolidated balance sheet of Gibraltar as of December 31, 2025 with the audited consolidated balance sheet of OmniMax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2025 gives effect to the Acquisition and the debt financing (see Note 6 for further details) as if they were consummated on January 1, 2025, the first day of Gibraltar’s fiscal year 2025, and combines the audited consolidated statement of operations of Gibraltar for the year ended December 31, 2025 with the audited consolidated statement of operations of OmniMax for the year ended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information available at the time of its preparation and is not necessarily indicative of what the actual results of operations and financial position would have been had the Acquisition and the debt financing taken place on the dates indicated, nor is it indicative of the future consolidated results of operations or financial position of Gibraltar. Actual results may differ materially from the assumptions within the unaudited pro forma condensed combined financial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condensed financial statements are intended to provide information about the impact of the Acquisition as if it had been consummated earlier. The pro forma adjustments are based on available information and certain assumptions that management believes are factually supportable and are expected to have an impact on the consolidated results of operations or financial position of Gibraltar.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reclassification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preparing the unaudited pro forma condensed combined financial information, Gibraltar conducted a preliminary review of OmniMax’s accounting policies to identify significant differences. Based on its preliminary review, management identified certain reclassification adjustments to conform OmniMax’s historical financial statement presentation to Gibraltar’s financial statement presentation (as presented in Note 8 below). Management will perform a comprehensive review of the two entities’ accounting policies. As a result of the review, management may identify differences between the financial statement classifications of the two entities which, when conformed, could have a material impact on the consolidated financial statements of OmniMax and Gibraltar. The unaudited pro forma condensed combined financial information has been prepared in a manner consistent with Gibraltar’s pre-Acquisition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ind w:right="1480" w:firstLine="1473"/>
        <w:spacing w:after="0" w:line="479" w:lineRule="auto"/>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 Note 3 – Consideration transferred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preliminary estimate of the fair value of the consideration transferred for the Acquisition: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to former shareholders (a)</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703,593</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Indebtedness payoff (b)</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630,193</w:t>
            </w:r>
          </w:p>
        </w:tc>
        <w:tc>
          <w:tcPr>
            <w:tcW w:w="80" w:type="dxa"/>
            <w:vAlign w:val="bottom"/>
          </w:tcPr>
          <w:p>
            <w:pPr>
              <w:spacing w:after="0"/>
              <w:rPr>
                <w:sz w:val="18"/>
                <w:szCs w:val="18"/>
                <w:color w:val="auto"/>
              </w:rPr>
            </w:pPr>
          </w:p>
        </w:tc>
      </w:tr>
      <w:tr>
        <w:trPr>
          <w:trHeight w:val="22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 payments (c)</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1,343,786</w:t>
            </w:r>
          </w:p>
        </w:tc>
        <w:tc>
          <w:tcPr>
            <w:tcW w:w="80" w:type="dxa"/>
            <w:vAlign w:val="bottom"/>
          </w:tcPr>
          <w:p>
            <w:pPr>
              <w:spacing w:after="0"/>
              <w:rPr>
                <w:sz w:val="18"/>
                <w:szCs w:val="18"/>
                <w:color w:val="auto"/>
              </w:rPr>
            </w:pP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Reflects estimated cash consideration to Seller of $703.6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Represents repayment of OmniMax’s existing debt of $630.2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Represents amount deposited in escrow account of $10.0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Preliminary fair values of assets acquired and liabilities assumed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preliminary estimates of fair values of OmniMax’s assets that Gibraltar acquired and OmniMax’s liabilities that Gibraltar assumed as of the Acquisition Date. Gibraltar’s preliminary estimates are based on the information that was available as of the date of this filing. As discussed in Note 2 above, the preliminary estimated allocation will be subject to further refinement, as new information becomes available, and may result in material changes. These changes, as discussed herein, will primarily relate to the estimated fair value of the consideration transferred and the fair value assigned to all tangible and intangible assets and liabilities acquired and identified. The final purchase price and goodwill could differ significantly from the current estimate, which could materially impact these unaudited pro forma condensed combined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 consideration transferred (a)</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1,343,786</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10,757</w:t>
            </w: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51,353</w:t>
            </w: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61,645</w:t>
            </w: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114,523</w:t>
            </w: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3380" w:type="dxa"/>
            <w:vAlign w:val="bottom"/>
          </w:tcPr>
          <w:p>
            <w:pPr>
              <w:spacing w:after="0"/>
              <w:rPr>
                <w:sz w:val="18"/>
                <w:szCs w:val="18"/>
                <w:color w:val="auto"/>
              </w:rPr>
            </w:pPr>
          </w:p>
        </w:tc>
      </w:tr>
      <w:tr>
        <w:trPr>
          <w:trHeight w:val="22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preliminary fair value of assets acquired (b)</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1,030,665</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39,580</w:t>
            </w: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51,292</w:t>
            </w:r>
          </w:p>
        </w:tc>
        <w:tc>
          <w:tcPr>
            <w:tcW w:w="338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35,455</w:t>
            </w:r>
          </w:p>
        </w:tc>
        <w:tc>
          <w:tcPr>
            <w:tcW w:w="33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107,926</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preliminary fair value of liabilities assumed (c)</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238,391</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 (d) = (b) – (c)</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792,274</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412"/>
        </w:trPr>
        <w:tc>
          <w:tcPr>
            <w:tcW w:w="6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preliminary purchase price allocation has been used to prepare the Transaction Accounting Adjustments in the unaudited pro forma condensed combined balance sheet and unaudited pro forma condensed combined statement of operations presented above. The final purchase price allocation will be determined when Gibraltar has completed the detailed valuations and necessary calculations. The estimated purchase price of the Acquisition has been allocated on a preliminary basis to the acquired tangible and identifiable intangible assets and assumed liabilities based on management’s current estimate of fair value with the excess cost over net tangible and identifiable intangible assets acquired being determined as goodwill. Management retained the services of a third party to assist in the preliminary valuation of the identifiable intangible assets acquired. These allocations are subject to change pending a final determination of the purchase price of OmniMax, the identification of additional acquired assets and assumed liabilities and the allocation of the final purchase price to the fair value of acquired assets and assumed liabilities.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Gibraltar’s accounting for the Acquisition, including assessing accounting policies for conformity, the determination of final purchase price, the identification of acquired assets and assumed liabilities, the allocation of the final purchase price to the fair value of acquired assets and assumed liabilities and changes in the amortization periods of amortizable assets may cause differences from the information presented herein and those differences may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Adjustments to the Unaudited Pro Forma Condensed Combined Balance Sheet as of December 31, 2025</w:t>
      </w:r>
    </w:p>
    <w:p>
      <w:pPr>
        <w:spacing w:after="0" w:line="2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consideration transferred to acquire OmniMax; refer to Note 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the historical OmniMax’s member’s deficit represented by the following components: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201,658</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10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(307,716)</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(4,437)</w:t>
            </w: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OmniMax’s member’s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(110,495)</w:t>
            </w: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fair value step up adjustment of $7.3 million to existing inventory.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fair value step up adjustment of $0.7 million to existing property, plant and equipment.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remeasure acquired lease liabilities and ROU assets in accordance with ASC 842, Leases. Details of adjustments to ROU assets and lease liabilities is provided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r>
      <w:tr>
        <w:trPr>
          <w:trHeight w:val="245"/>
        </w:trPr>
        <w:tc>
          <w:tcPr>
            <w:tcW w:w="98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OmniMax’s historical net book value of ROU assets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Preliminary remeasurement of acquired ROU assets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114,523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98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to ROU assets, net</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Pr>
          <w:p>
            <w:pPr>
              <w:spacing w:after="0"/>
              <w:rPr>
                <w:sz w:val="22"/>
                <w:szCs w:val="22"/>
                <w:color w:val="auto"/>
              </w:rPr>
            </w:pPr>
          </w:p>
        </w:tc>
      </w:tr>
      <w:tr>
        <w:trPr>
          <w:trHeight w:val="403"/>
        </w:trPr>
        <w:tc>
          <w:tcPr>
            <w:tcW w:w="9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24"/>
                <w:szCs w:val="24"/>
                <w:color w:val="auto"/>
              </w:rPr>
            </w:pPr>
          </w:p>
        </w:tc>
      </w:tr>
      <w:tr>
        <w:trPr>
          <w:trHeight w:val="245"/>
        </w:trPr>
        <w:tc>
          <w:tcPr>
            <w:tcW w:w="98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OmniMax’s historical non-current operating lease liabilities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(86,540)</w:t>
            </w:r>
          </w:p>
        </w:tc>
        <w:tc>
          <w:tcPr>
            <w:tcW w:w="100" w:type="dxa"/>
            <w:vAlign w:val="bottom"/>
            <w:gridSpan w:val="2"/>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Preliminary remeasurement of non-current operating lease liabilities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107,926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6"/>
        </w:trPr>
        <w:tc>
          <w:tcPr>
            <w:tcW w:w="980" w:type="dxa"/>
            <w:vAlign w:val="bottom"/>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to non-current operating lease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21,386</w:t>
            </w:r>
          </w:p>
        </w:tc>
        <w:tc>
          <w:tcPr>
            <w:tcW w:w="80" w:type="dxa"/>
            <w:vAlign w:val="bottom"/>
            <w:shd w:val="clear" w:color="auto" w:fill="CCEEFF"/>
          </w:tcPr>
          <w:p>
            <w:pPr>
              <w:spacing w:after="0"/>
              <w:rPr>
                <w:sz w:val="22"/>
                <w:szCs w:val="22"/>
                <w:color w:val="auto"/>
              </w:rPr>
            </w:pPr>
          </w:p>
        </w:tc>
        <w:tc>
          <w:tcPr>
            <w:tcW w:w="1020" w:type="dxa"/>
            <w:vAlign w:val="bottom"/>
          </w:tcPr>
          <w:p>
            <w:pPr>
              <w:spacing w:after="0"/>
              <w:rPr>
                <w:sz w:val="22"/>
                <w:szCs w:val="22"/>
                <w:color w:val="auto"/>
              </w:rPr>
            </w:pPr>
          </w:p>
        </w:tc>
      </w:tr>
      <w:tr>
        <w:trPr>
          <w:trHeight w:val="405"/>
        </w:trPr>
        <w:tc>
          <w:tcPr>
            <w:tcW w:w="980" w:type="dxa"/>
            <w:vAlign w:val="bottom"/>
            <w:tcBorders>
              <w:bottom w:val="single" w:sz="8" w:color="auto"/>
            </w:tcBorders>
          </w:tcPr>
          <w:p>
            <w:pPr>
              <w:spacing w:after="0"/>
              <w:rPr>
                <w:sz w:val="24"/>
                <w:szCs w:val="24"/>
                <w:color w:val="auto"/>
              </w:rPr>
            </w:pPr>
          </w:p>
        </w:tc>
        <w:tc>
          <w:tcPr>
            <w:tcW w:w="76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9" w:name="page50"/>
    <w:bookmarkEnd w:id="49"/>
    <w:p>
      <w:pPr>
        <w:ind w:left="1148"/>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5" w:lineRule="exact"/>
        <w:rPr>
          <w:sz w:val="20"/>
          <w:szCs w:val="20"/>
          <w:color w:val="auto"/>
        </w:rPr>
      </w:pPr>
    </w:p>
    <w:tbl>
      <w:tblPr>
        <w:tblLayout w:type="fixed"/>
        <w:tblInd w:w="648"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OmniMax’s historical current operating lease liabilities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shd w:val="clear" w:color="auto" w:fill="CCEEFF"/>
          </w:tcPr>
          <w:p>
            <w:pPr>
              <w:spacing w:after="0"/>
              <w:rPr>
                <w:sz w:val="18"/>
                <w:szCs w:val="18"/>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Preliminary remeasurement of current operating lease liabilities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r>
      <w:tr>
        <w:trPr>
          <w:trHeight w:val="257"/>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to accrued expenses</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28" w:right="20" w:hanging="328"/>
        <w:spacing w:after="0" w:line="282"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$120.7 million of historical goodwill of OmniMax and the preliminary recognition of $551.5 million of goodwill pertaining to this Acquisition, which is not expected to be deductible for tax purposes.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historical values of the OmniMax’s intangibles of $198.5 million, which includes $179.7 million of customer relationships and $18.8 million of trade names, and the preliminary recognition of $640.0 million of identifiable intangible assets attributable to the transaction. The following shows a breakdown of the preliminary fair value of intangible assets and their respective estimated useful lives:</w:t>
      </w:r>
    </w:p>
    <w:p>
      <w:pPr>
        <w:spacing w:after="0" w:line="172" w:lineRule="exact"/>
        <w:rPr>
          <w:sz w:val="20"/>
          <w:szCs w:val="20"/>
          <w:color w:val="auto"/>
        </w:rPr>
      </w:pPr>
    </w:p>
    <w:tbl>
      <w:tblPr>
        <w:tblLayout w:type="fixed"/>
        <w:tblInd w:w="648"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Estimated annual</w:t>
            </w:r>
          </w:p>
        </w:tc>
      </w:tr>
      <w:tr>
        <w:trPr>
          <w:trHeight w:val="245"/>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110,000</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35,333</w:t>
            </w:r>
          </w:p>
        </w:tc>
      </w:tr>
      <w:tr>
        <w:trPr>
          <w:trHeight w:val="25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41,444</w:t>
            </w:r>
          </w:p>
        </w:tc>
      </w:tr>
    </w:tbl>
    <w:p>
      <w:pPr>
        <w:spacing w:after="0" w:line="198"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Pro forma amortization is preliminary and based on the use of straight-line amortization. The amount of amortization following the Acquisition may differ significantly between periods based upon the final values assigned, amortization methodology used for each identifiable intangible asset and estimated useful lives for each identifiable intangible asset.</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Refer to Note 7(b) for details of proforma adjustments pertaining to amortization of intangibles.</w:t>
      </w:r>
    </w:p>
    <w:p>
      <w:pPr>
        <w:spacing w:after="0" w:line="225" w:lineRule="exact"/>
        <w:rPr>
          <w:sz w:val="20"/>
          <w:szCs w:val="20"/>
          <w:color w:val="auto"/>
        </w:rPr>
      </w:pPr>
    </w:p>
    <w:p>
      <w:pPr>
        <w:ind w:left="328" w:hanging="328"/>
        <w:spacing w:after="0"/>
        <w:tabs>
          <w:tab w:leader="none" w:pos="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 of OmniMax’s outstanding debt by Gibraltar:</w:t>
      </w:r>
    </w:p>
    <w:p>
      <w:pPr>
        <w:spacing w:after="0" w:line="221" w:lineRule="exact"/>
        <w:rPr>
          <w:sz w:val="20"/>
          <w:szCs w:val="20"/>
          <w:color w:val="auto"/>
        </w:rPr>
      </w:pPr>
    </w:p>
    <w:tbl>
      <w:tblPr>
        <w:tblLayout w:type="fixed"/>
        <w:tblInd w:w="648"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8"/>
                <w:szCs w:val="18"/>
                <w:color w:val="auto"/>
              </w:rPr>
            </w:pPr>
          </w:p>
        </w:tc>
      </w:tr>
      <w:tr>
        <w:trPr>
          <w:trHeight w:val="22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outstanding debt</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606,083</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jc w:val="both"/>
        <w:ind w:left="328" w:hanging="328"/>
        <w:spacing w:after="0" w:line="261"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accrual of Gibraltar’s non-recurring transaction costs of $15.1 million related to the transaction including fees expected to be paid for financial advisory services, legal services, and professional accounting services. These costs are expected to be incurred within twelve months from the consummation of the Acquisition. In addition, $8.0 million related to success-based costs incurred by OmniMax as a result of the sale were considered as assumed liabilities (forming part of liabilities assumed as per Note 4 above).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to deferred tax liabilities of $34.1 million based on the blended foreign, federal, and state statutory rate of approximately 26% multiplied by the fair value adjustments related to the assets acquired and liabilities assumed with an offsetting adjustment to Goodwill. Further, certain consequential reclassification adjustments were made to Gibraltar’s deferred tax assets and liabilities reducing both amounts by $17.8 million. These estimates are subject to further review by management of Gibraltar and OmniMax, which may result in material adjustments to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248285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$1.4 million for Due to Investors/SVP Owners.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Adjustments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Acquisition, Gibraltar entered into new senior secured term loan facilities in an aggregate principal amount of $1.3 billion and a new, upsized $500 million revolving credit facility (the “New Credit Facilities”).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Gibraltar financed the Acquisition in part using the net proceeds from the New Credit Facilities, which included a $650 million Term Loan A (the “Term Loan A”), and a $650 million Term Loan B (the “Term Loan B”) and borrowings under the new revolving credit facility in the amount of $10.0 million. The proceeds from the New Credit Facilities, issued at discount, were used to finance the Acquisition and to repay certain existing indebtedness of OmniMax, repayment of which is reflected as part of the consideration transferred (refer to Note 3).</w:t>
      </w:r>
    </w:p>
    <w:p>
      <w:pPr>
        <w:spacing w:after="0" w:line="180" w:lineRule="exact"/>
        <w:rPr>
          <w:sz w:val="20"/>
          <w:szCs w:val="20"/>
          <w:color w:val="auto"/>
        </w:rPr>
      </w:pPr>
    </w:p>
    <w:p>
      <w:pPr>
        <w:jc w:val="both"/>
        <w:ind w:left="660" w:hanging="328"/>
        <w:spacing w:after="0" w:line="232" w:lineRule="exact"/>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borrowings under the New Credit Facilities and the receipt of net cash proceeds of $1.279 billion after giving effect to original issue discounts, and other related financing costs. The borrowings under the New Credit Facilities are reflected as $13.9 million in the current portion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and $1.265 billion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on the pro forma balance sheet.</w:t>
      </w:r>
    </w:p>
    <w:p>
      <w:pPr>
        <w:spacing w:after="0" w:line="17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recognize interest expense and the amortization of debt issuance costs associated with the Term Loans, resulting in an incremental expense of $82.1 million on a pro forma basis.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Loan A, the applicable interest rate ranges from 1.375% to 2.25% for Term SOFR loans and 0.375% to 1.25% for Base Rate loans, in each case based on Gibraltar’s consolidated first lien net leverage ratio. For Term Loan B, the applicable interest rate ranges from 1.75% to 2.25% for Term SOFR loans and 0.75% to 1.25% for Base Rate loans, in each case based on Gibraltar’s consolidated first lien net leverage ratio. Interest on the Term Loans is currently based on SOFR+2.00% for Term Loan A and SOFR+2.25% for Term Loan B. A 1/8 of a percentage point increase or decrease in the benchmark rate would result in a change in incremental annual interest expense of approximately $1.6 million.</w:t>
      </w:r>
    </w:p>
    <w:p>
      <w:pPr>
        <w:spacing w:after="0" w:line="18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 of the unaudited pro forma financing adjustments, based on a blended foreign, federal, and state statutory rate of approximately 26%. The effective tax rate of the combined company could be significantly different than what is presented in these unaudited pro forma condensed combined financial statements depending on post-Acquisition activities, including restructuring,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Adjustments to the Unaudited Pro Forma Condensed Combined Statements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8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Represents the following adjustments to cost of sales: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66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66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step-up of the existing inventory written-off (Refer to note (i) below)</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Reversal of depreciation for historical property, plant &amp; equipment</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(7,340)</w:t>
            </w:r>
          </w:p>
        </w:tc>
      </w:tr>
      <w:tr>
        <w:trPr>
          <w:trHeight w:val="216"/>
        </w:trPr>
        <w:tc>
          <w:tcPr>
            <w:tcW w:w="66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depreciation on property, plant &amp; equipment recognized as part of the Acquisition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Reversal of historical lease expense</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(10,731)</w:t>
            </w:r>
          </w:p>
        </w:tc>
      </w:tr>
      <w:tr>
        <w:trPr>
          <w:trHeight w:val="223"/>
        </w:trPr>
        <w:tc>
          <w:tcPr>
            <w:tcW w:w="660" w:type="dxa"/>
            <w:vAlign w:val="bottom"/>
          </w:tcPr>
          <w:p>
            <w:pPr>
              <w:spacing w:after="0"/>
              <w:rPr>
                <w:sz w:val="19"/>
                <w:szCs w:val="19"/>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lease expense based on lease remeasurement as part of the Acquisition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adjustment—cost of sales expenses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8,937</w:t>
            </w:r>
          </w:p>
        </w:tc>
        <w:tc>
          <w:tcPr>
            <w:tcW w:w="120" w:type="dxa"/>
            <w:vAlign w:val="bottom"/>
          </w:tcPr>
          <w:p>
            <w:pPr>
              <w:spacing w:after="0"/>
              <w:rPr>
                <w:sz w:val="18"/>
                <w:szCs w:val="18"/>
                <w:color w:val="auto"/>
              </w:rPr>
            </w:pPr>
          </w:p>
        </w:tc>
      </w:tr>
      <w:tr>
        <w:trPr>
          <w:trHeight w:val="21"/>
        </w:trPr>
        <w:tc>
          <w:tcPr>
            <w:tcW w:w="6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ind w:left="1140" w:right="80" w:hanging="322"/>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increase cost of goods sold by $7.3 million for the year ended December 31, 2025 as it is expected that the fair value step-up of the existing inventory will result in an increase to cost of goods sold as the existing inventory is expected to be sold within one year of the Acquisition.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adjustments to selling, general and administrative expenses: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historical amortization expense for historical intangibles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amortization pertaining to intangibles recognized as part of the Acquisition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depreciation for historical property, plant &amp; equipment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depreciation on property, plant &amp; equipment recognized as part of the Acquisition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historical lease expense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lease expense based on lease remeasurement as part of the Acquisition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expected to be incurred (Refer to note (i) below)</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selling, general and administrative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$23,278</w:t>
            </w:r>
          </w:p>
        </w:tc>
        <w:tc>
          <w:tcPr>
            <w:tcW w:w="12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ind w:left="1140" w:hanging="322"/>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accrual of Gibraltar’s non-recurring transaction costs of $15.1 million related to the Acquisition including fees expected to be paid for financial advisory services, legal services, and professional accounting services. These costs are expected to be incurred within twelve months from the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9"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of $56.4 million for the year ended December 31, 2025 related to the extinguishment of OmniMax’s term loan and incremental term loan upon consummation of the Acquisition.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 of the unaudited pro forma adjustments, based on a blended foreign, federal, and state statutory rate of approximately 26%. The effective tax rate of the combined company could be significantly different than what is presented in these unaudited pro forma condensed combined financial statements depending on post-Acquisition activities, including restructuring, if 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combined basic and diluted earnings per share have been adjusted to reflect the pro forma net income from continuing operations for the year ended December 31, 2025. As there were no shares issued as part of the purchase price, basic and diluted pro forma weighted average shares outstanding are the same as the weighted average shares outstanding for the year ended December 31, 2025.</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pro forma weighted average shares outstanding and proforma net income (loss) per share were calculated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combined net income from continuing operations attributable to common stockholders</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36,874</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Historical weighted-average number of common shares outstanding</w:t>
            </w: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29,875</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29,984</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weighted-average number of common shares outstanding</w:t>
            </w:r>
          </w:p>
        </w:tc>
        <w:tc>
          <w:tcPr>
            <w:tcW w:w="182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29,875</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29,984</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common share</w:t>
            </w: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Pr>
          <w:p>
            <w:pPr>
              <w:spacing w:after="0"/>
              <w:rPr>
                <w:sz w:val="20"/>
                <w:szCs w:val="20"/>
                <w:color w:val="auto"/>
              </w:rPr>
            </w:pPr>
          </w:p>
        </w:tc>
      </w:tr>
      <w:tr>
        <w:trPr>
          <w:trHeight w:val="394"/>
        </w:trPr>
        <w:tc>
          <w:tcPr>
            <w:tcW w:w="6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3" w:name="page54"/>
    <w:bookmarkEnd w:id="53"/>
    <w:p>
      <w:pPr>
        <w:ind w:right="1480" w:firstLine="1473"/>
        <w:spacing w:after="0" w:line="479" w:lineRule="auto"/>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 Note 8 – Reclassification Adjustments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tables below represent the reclassification adjustments for certain financial statement line items, as reported by OmniMax under US GAAP, to align with the expected classifications of Gibraltar, post-Acquisition. Those balances not specifically referenced below have been presented within the equivalent Gibraltar caption.</w:t>
      </w:r>
    </w:p>
    <w:p>
      <w:pPr>
        <w:spacing w:after="0" w:line="172"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of OmniMax’s balance sheet to conform to Gibraltar’s presentation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OmniMax International,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 as of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OmniMax</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OmniMax</w:t>
            </w:r>
          </w:p>
        </w:tc>
        <w:tc>
          <w:tcPr>
            <w:tcW w:w="0" w:type="dxa"/>
            <w:vAlign w:val="bottom"/>
          </w:tcPr>
          <w:p>
            <w:pPr>
              <w:spacing w:after="0"/>
              <w:rPr>
                <w:sz w:val="1"/>
                <w:szCs w:val="1"/>
                <w:color w:val="auto"/>
              </w:rPr>
            </w:pPr>
          </w:p>
        </w:tc>
      </w:tr>
      <w:tr>
        <w:trPr>
          <w:trHeight w:val="238"/>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10,757</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53,587</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(2,234)</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128,207</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128,207</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1,207</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6,227</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 (b)</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199,985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199,985</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60,978</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60,978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83,857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83,857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120,688</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120,688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179,653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179,653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18,810</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7,204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 and 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5,960</w:t>
            </w:r>
          </w:p>
        </w:tc>
        <w:tc>
          <w:tcPr>
            <w:tcW w:w="1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39,580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42,560</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w:t>
            </w:r>
          </w:p>
        </w:tc>
        <w:tc>
          <w:tcPr>
            <w:tcW w:w="10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42,903</w:t>
            </w:r>
          </w:p>
        </w:tc>
        <w:tc>
          <w:tcPr>
            <w:tcW w:w="0" w:type="dxa"/>
            <w:vAlign w:val="bottom"/>
          </w:tcPr>
          <w:p>
            <w:pPr>
              <w:spacing w:after="0"/>
              <w:rPr>
                <w:sz w:val="1"/>
                <w:szCs w:val="1"/>
                <w:color w:val="auto"/>
              </w:rPr>
            </w:pPr>
          </w:p>
        </w:tc>
      </w:tr>
      <w:tr>
        <w:trPr>
          <w:trHeight w:val="22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88,443</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599,780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599,780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1,369</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86,540</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86,540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Due to investors/SVP owners</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90,678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(90,678)</w:t>
            </w:r>
          </w:p>
        </w:tc>
        <w:tc>
          <w:tcPr>
            <w:tcW w:w="1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(d), (e)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781,670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781,670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201,658</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201,658</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(307,716)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member’s deficit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(110,495)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(110,495)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member’s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2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671,175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4" w:name="page55"/>
    <w:bookmarkEnd w:id="5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accrued revenue of $2.2 million from Trade receivables to Prepaid expenses and other current assets to conform to Gibraltar’s Balance Sheet presentation.</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$1.2 million from Income Tax Receivable to Prepaid expenses and other current assets to conform to Gibraltar’s Balance Sheet presentation.</w:t>
      </w:r>
    </w:p>
    <w:p>
      <w:pPr>
        <w:spacing w:after="0" w:line="16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$0.3 million from Accrued interest payable to Accrued expenses to conform to Gibraltar’s Balance Sheet presentation.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$86.5 million from other liabilities to non-current operating lease liabilities to conform to Gibraltar’s Balance Sheet presentation.</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$1.4 million from Due to Investors/SVP Owners and $4.1 million from other liabilities to other non- current liabilities to conform to Gibraltar’s Balance Sheet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5" w:name="page56"/>
    <w:bookmarkEnd w:id="55"/>
    <w:p>
      <w:pPr>
        <w:ind w:right="1480" w:firstLine="1473"/>
        <w:spacing w:after="0" w:line="477" w:lineRule="auto"/>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 b. Reclassification of OmniMax’s income statement to conform to Gibraltar’s presentation</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OmniMax International,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Income Statement for the Year Ended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Particulars</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OmniMax</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OmniMax</w:t>
            </w:r>
          </w:p>
        </w:tc>
      </w:tr>
      <w:tr>
        <w:trPr>
          <w:trHeight w:val="238"/>
        </w:trPr>
        <w:tc>
          <w:tcPr>
            <w:tcW w:w="63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Reclassified</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517,584</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517,584</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366,819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374,159</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150,765</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143,425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53,354</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51,576</w:t>
            </w: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 (b)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104,930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42,683</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(42,683)</w:t>
            </w:r>
          </w:p>
        </w:tc>
        <w:tc>
          <w:tcPr>
            <w:tcW w:w="10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charges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16,233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(16,233)</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38,495</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38,495</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(56,365)</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56,310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w:t>
            </w:r>
          </w:p>
        </w:tc>
      </w:tr>
      <w:tr>
        <w:trPr>
          <w:trHeight w:val="27"/>
        </w:trPr>
        <w:tc>
          <w:tcPr>
            <w:tcW w:w="63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before income taxes from continuing operations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(16,817)</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985</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8"/>
                <w:szCs w:val="18"/>
                <w:color w:val="auto"/>
              </w:rPr>
            </w:pPr>
          </w:p>
        </w:tc>
      </w:tr>
      <w:tr>
        <w:trPr>
          <w:trHeight w:val="27"/>
        </w:trPr>
        <w:tc>
          <w:tcPr>
            <w:tcW w:w="63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(17,802)</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(17,802)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ind w:left="660" w:right="2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$42.7 million of Depreciation and amortization by OmniMax as $7.3 million of Cost of sales and $35.3 million of Selling, general and administrative expense to conform to Gibraltar’s presentation.</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$16.2 million of Other operating charges by OmniMax as Selling, general and administrative expense to conform to Gibraltar’s presentation.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Interest income by OmniMax as Interest (income) expense, net to conform to Gibraltar’s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4"/>
    </w:lvl>
  </w:abstractNum>
  <w:abstractNum w:abstractNumId="11">
    <w:nsid w:val="737B8DDC"/>
    <w:multiLevelType w:val="hybridMultilevel"/>
    <w:lvl w:ilvl="0">
      <w:lvlJc w:val="left"/>
      <w:lvlText w:val="%1."/>
      <w:numFmt w:val="decimal"/>
      <w:start w:val="5"/>
    </w:lvl>
  </w:abstractNum>
  <w:abstractNum w:abstractNumId="12">
    <w:nsid w:val="6CEAF087"/>
    <w:multiLevelType w:val="hybridMultilevel"/>
    <w:lvl w:ilvl="0">
      <w:lvlJc w:val="left"/>
      <w:lvlText w:val="%1."/>
      <w:numFmt w:val="decimal"/>
      <w:start w:val="6"/>
    </w:lvl>
  </w:abstractNum>
  <w:abstractNum w:abstractNumId="13">
    <w:nsid w:val="22221A70"/>
    <w:multiLevelType w:val="hybridMultilevel"/>
    <w:lvl w:ilvl="0">
      <w:lvlJc w:val="left"/>
      <w:lvlText w:val="%1."/>
      <w:numFmt w:val="decimal"/>
      <w:start w:val="6"/>
    </w:lvl>
  </w:abstractNum>
  <w:abstractNum w:abstractNumId="14">
    <w:nsid w:val="4516DDE9"/>
    <w:multiLevelType w:val="hybridMultilevel"/>
    <w:lvl w:ilvl="0">
      <w:lvlJc w:val="left"/>
      <w:lvlText w:val="%1."/>
      <w:numFmt w:val="decimal"/>
      <w:start w:val="7"/>
    </w:lvl>
  </w:abstractNum>
  <w:abstractNum w:abstractNumId="15">
    <w:nsid w:val="3006C83E"/>
    <w:multiLevelType w:val="hybridMultilevel"/>
    <w:lvl w:ilvl="0">
      <w:lvlJc w:val="left"/>
      <w:lvlText w:val="%1."/>
      <w:numFmt w:val="decimal"/>
      <w:start w:val="7"/>
    </w:lvl>
  </w:abstractNum>
  <w:abstractNum w:abstractNumId="16">
    <w:nsid w:val="614FD4A1"/>
    <w:multiLevelType w:val="hybridMultilevel"/>
    <w:lvl w:ilvl="0">
      <w:lvlJc w:val="left"/>
      <w:lvlText w:val="%1."/>
      <w:numFmt w:val="decimal"/>
      <w:start w:val="8"/>
    </w:lvl>
  </w:abstractNum>
  <w:abstractNum w:abstractNumId="17">
    <w:nsid w:val="419AC241"/>
    <w:multiLevelType w:val="hybridMultilevel"/>
    <w:lvl w:ilvl="0">
      <w:lvlJc w:val="left"/>
      <w:lvlText w:val="%1."/>
      <w:numFmt w:val="decimal"/>
      <w:start w:val="8"/>
    </w:lvl>
  </w:abstractNum>
  <w:abstractNum w:abstractNumId="18">
    <w:nsid w:val="5577F8E1"/>
    <w:multiLevelType w:val="hybridMultilevel"/>
    <w:lvl w:ilvl="0">
      <w:lvlJc w:val="left"/>
      <w:lvlText w:val="%1."/>
      <w:numFmt w:val="decimal"/>
      <w:start w:val="9"/>
    </w:lvl>
  </w:abstractNum>
  <w:abstractNum w:abstractNumId="19">
    <w:nsid w:val="440BADFC"/>
    <w:multiLevelType w:val="hybridMultilevel"/>
    <w:lvl w:ilvl="0">
      <w:lvlJc w:val="left"/>
      <w:lvlText w:val="%1."/>
      <w:numFmt w:val="decimal"/>
      <w:start w:val="10"/>
    </w:lvl>
  </w:abstractNum>
  <w:abstractNum w:abstractNumId="20">
    <w:nsid w:val="5072367"/>
    <w:multiLevelType w:val="hybridMultilevel"/>
    <w:lvl w:ilvl="0">
      <w:lvlJc w:val="left"/>
      <w:lvlText w:val="%1."/>
      <w:numFmt w:val="decimal"/>
      <w:start w:val="10"/>
    </w:lvl>
  </w:abstractNum>
  <w:abstractNum w:abstractNumId="21">
    <w:nsid w:val="3804823E"/>
    <w:multiLevelType w:val="hybridMultilevel"/>
    <w:lvl w:ilvl="0">
      <w:lvlJc w:val="left"/>
      <w:lvlText w:val="%1."/>
      <w:numFmt w:val="decimal"/>
      <w:start w:val="10"/>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0"/>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0"/>
    </w:lvl>
  </w:abstractNum>
  <w:abstractNum w:abstractNumId="28">
    <w:nsid w:val="2D517796"/>
    <w:multiLevelType w:val="hybridMultilevel"/>
    <w:lvl w:ilvl="0">
      <w:lvlJc w:val="left"/>
      <w:lvlText w:val="%1."/>
      <w:numFmt w:val="decimal"/>
      <w:start w:val="11"/>
    </w:lvl>
  </w:abstractNum>
  <w:abstractNum w:abstractNumId="29">
    <w:nsid w:val="580BD78F"/>
    <w:multiLevelType w:val="hybridMultilevel"/>
    <w:lvl w:ilvl="0">
      <w:lvlJc w:val="left"/>
      <w:lvlText w:val="2"/>
      <w:numFmt w:val="bullet"/>
      <w:start w:val="1"/>
    </w:lvl>
  </w:abstractNum>
  <w:abstractNum w:abstractNumId="30">
    <w:nsid w:val="153EA438"/>
    <w:multiLevelType w:val="hybridMultilevel"/>
    <w:lvl w:ilvl="0">
      <w:lvlJc w:val="left"/>
      <w:lvlText w:val="%1."/>
      <w:numFmt w:val="decimal"/>
      <w:start w:val="11"/>
    </w:lvl>
  </w:abstractNum>
  <w:abstractNum w:abstractNumId="31">
    <w:nsid w:val="3855585C"/>
    <w:multiLevelType w:val="hybridMultilevel"/>
    <w:lvl w:ilvl="0">
      <w:lvlJc w:val="left"/>
      <w:lvlText w:val="%1."/>
      <w:numFmt w:val="decimal"/>
      <w:start w:val="12"/>
    </w:lvl>
  </w:abstractNum>
  <w:abstractNum w:abstractNumId="32">
    <w:nsid w:val="70A64E2A"/>
    <w:multiLevelType w:val="hybridMultilevel"/>
    <w:lvl w:ilvl="0">
      <w:lvlJc w:val="left"/>
      <w:lvlText w:val="%1."/>
      <w:numFmt w:val="decimal"/>
      <w:start w:val="13"/>
    </w:lvl>
  </w:abstractNum>
  <w:abstractNum w:abstractNumId="33">
    <w:nsid w:val="6A2342EC"/>
    <w:multiLevelType w:val="hybridMultilevel"/>
    <w:lvl w:ilvl="0">
      <w:lvlJc w:val="left"/>
      <w:lvlText w:val="%1."/>
      <w:numFmt w:val="decimal"/>
      <w:start w:val="13"/>
    </w:lvl>
  </w:abstractNum>
  <w:abstractNum w:abstractNumId="34">
    <w:nsid w:val="2A487CB0"/>
    <w:multiLevelType w:val="hybridMultilevel"/>
    <w:lvl w:ilvl="0">
      <w:lvlJc w:val="left"/>
      <w:lvlText w:val="%1."/>
      <w:numFmt w:val="decimal"/>
      <w:start w:val="15"/>
    </w:lvl>
  </w:abstractNum>
  <w:abstractNum w:abstractNumId="35">
    <w:nsid w:val="1D4ED43B"/>
    <w:multiLevelType w:val="hybridMultilevel"/>
    <w:lvl w:ilvl="0">
      <w:lvlJc w:val="left"/>
      <w:lvlText w:val="%1."/>
      <w:numFmt w:val="decimal"/>
      <w:start w:val="16"/>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3"/>
    </w:lvl>
  </w:abstractNum>
  <w:abstractNum w:abstractNumId="39">
    <w:nsid w:val="7A6D8D3C"/>
    <w:multiLevelType w:val="hybridMultilevel"/>
    <w:lvl w:ilvl="0">
      <w:lvlJc w:val="left"/>
      <w:lvlText w:val="%1."/>
      <w:numFmt w:val="lowerLetter"/>
      <w:start w:val="6"/>
    </w:lvl>
  </w:abstractNum>
  <w:abstractNum w:abstractNumId="40">
    <w:nsid w:val="4B588F54"/>
    <w:multiLevelType w:val="hybridMultilevel"/>
    <w:lvl w:ilvl="0">
      <w:lvlJc w:val="left"/>
      <w:lvlText w:val="%1."/>
      <w:numFmt w:val="lowerLetter"/>
      <w:start w:val="8"/>
    </w:lvl>
  </w:abstractNum>
  <w:abstractNum w:abstractNumId="41">
    <w:nsid w:val="542289EC"/>
    <w:multiLevelType w:val="hybridMultilevel"/>
    <w:lvl w:ilvl="0">
      <w:lvlJc w:val="left"/>
      <w:lvlText w:val="%1."/>
      <w:numFmt w:val="lowerLetter"/>
      <w:start w:val="9"/>
    </w:lvl>
  </w:abstractNum>
  <w:abstractNum w:abstractNumId="42">
    <w:nsid w:val="6DE91B18"/>
    <w:multiLevelType w:val="hybridMultilevel"/>
    <w:lvl w:ilvl="0">
      <w:lvlJc w:val="left"/>
      <w:lvlText w:val="%1."/>
      <w:numFmt w:val="lowerLetter"/>
      <w:start w:val="1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lvl w:ilvl="1">
      <w:lvlJc w:val="left"/>
      <w:lvlText w:val="%2."/>
      <w:numFmt w:val="lowerLetter"/>
      <w:start w:val="9"/>
    </w:lvl>
  </w:abstractNum>
  <w:abstractNum w:abstractNumId="45">
    <w:nsid w:val="32FFF902"/>
    <w:multiLevelType w:val="hybridMultilevel"/>
    <w:lvl w:ilvl="0">
      <w:lvlJc w:val="left"/>
      <w:lvlText w:val="%1."/>
      <w:numFmt w:val="lowerLetter"/>
      <w:start w:val="2"/>
    </w:lvl>
    <w:lvl w:ilvl="1">
      <w:lvlJc w:val="left"/>
      <w:lvlText w:val="%2"/>
      <w:numFmt w:val="lowerLetter"/>
      <w:start w:val="1"/>
    </w:lvl>
  </w:abstractNum>
  <w:abstractNum w:abstractNumId="46">
    <w:nsid w:val="684A481A"/>
    <w:multiLevelType w:val="hybridMultilevel"/>
    <w:lvl w:ilvl="0">
      <w:lvlJc w:val="left"/>
      <w:lvlText w:val="%1."/>
      <w:numFmt w:val="lowerRoman"/>
      <w:start w:val="1"/>
    </w:lvl>
  </w:abstractNum>
  <w:abstractNum w:abstractNumId="47">
    <w:nsid w:val="579478FE"/>
    <w:multiLevelType w:val="hybridMultilevel"/>
    <w:lvl w:ilvl="0">
      <w:lvlJc w:val="left"/>
      <w:lvlText w:val="%1."/>
      <w:numFmt w:val="lowerLetter"/>
      <w:start w:val="3"/>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2026-04-17T07:39:41Z</dcterms:created>
  <dcterms:modified xsi:type="dcterms:W3CDTF">2026-04-17T07:39:41Z</dcterms:modified>
</cp:coreProperties>
</file>