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FORM SD</w:t>
      </w:r>
    </w:p>
    <w:p>
      <w:pPr>
        <w:spacing w:after="0" w:line="199"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539"/>
        <w:spacing w:after="0"/>
        <w:rPr>
          <w:sz w:val="20"/>
          <w:szCs w:val="20"/>
          <w:color w:val="auto"/>
        </w:rPr>
      </w:pPr>
      <w:r>
        <w:rPr>
          <w:rFonts w:ascii="Arial" w:cs="Arial" w:eastAsia="Arial" w:hAnsi="Arial"/>
          <w:sz w:val="36"/>
          <w:szCs w:val="36"/>
          <w:b w:val="1"/>
          <w:bCs w:val="1"/>
          <w:color w:val="auto"/>
        </w:rPr>
        <w:t>GIBRALTAR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26670</wp:posOffset>
            </wp:positionV>
            <wp:extent cx="586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62"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0" w:lineRule="exact"/>
        <w:rPr>
          <w:sz w:val="24"/>
          <w:szCs w:val="24"/>
          <w:color w:val="auto"/>
        </w:rPr>
      </w:pPr>
    </w:p>
    <w:p>
      <w:pPr>
        <w:spacing w:after="0" w:line="277" w:lineRule="exact"/>
        <w:rPr>
          <w:sz w:val="24"/>
          <w:szCs w:val="24"/>
          <w:color w:val="auto"/>
        </w:rPr>
      </w:pPr>
    </w:p>
    <w:tbl>
      <w:tblPr>
        <w:tblLayout w:type="fixed"/>
        <w:tblInd w:w="100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49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rPr>
              <w:t>Delaware</w:t>
            </w:r>
          </w:p>
        </w:tc>
        <w:tc>
          <w:tcPr>
            <w:tcW w:w="42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0-22462</w:t>
            </w:r>
          </w:p>
        </w:tc>
        <w:tc>
          <w:tcPr>
            <w:tcW w:w="20" w:type="dxa"/>
            <w:vAlign w:val="bottom"/>
          </w:tcPr>
          <w:p>
            <w:pPr>
              <w:spacing w:after="0"/>
              <w:rPr>
                <w:sz w:val="22"/>
                <w:szCs w:val="22"/>
                <w:color w:val="auto"/>
              </w:rPr>
            </w:pPr>
          </w:p>
        </w:tc>
      </w:tr>
      <w:tr>
        <w:trPr>
          <w:trHeight w:val="241"/>
        </w:trPr>
        <w:tc>
          <w:tcPr>
            <w:tcW w:w="20" w:type="dxa"/>
            <w:vAlign w:val="bottom"/>
          </w:tcPr>
          <w:p>
            <w:pPr>
              <w:spacing w:after="0"/>
              <w:rPr>
                <w:sz w:val="20"/>
                <w:szCs w:val="20"/>
                <w:color w:val="auto"/>
              </w:rPr>
            </w:pPr>
          </w:p>
        </w:tc>
        <w:tc>
          <w:tcPr>
            <w:tcW w:w="4940" w:type="dxa"/>
            <w:vAlign w:val="bottom"/>
          </w:tcPr>
          <w:p>
            <w:pPr>
              <w:jc w:val="center"/>
              <w:ind w:right="250"/>
              <w:spacing w:after="0"/>
              <w:rPr>
                <w:sz w:val="20"/>
                <w:szCs w:val="20"/>
                <w:color w:val="auto"/>
              </w:rPr>
            </w:pPr>
            <w:r>
              <w:rPr>
                <w:rFonts w:ascii="Arial" w:cs="Arial" w:eastAsia="Arial" w:hAnsi="Arial"/>
                <w:sz w:val="18"/>
                <w:szCs w:val="18"/>
                <w:color w:val="auto"/>
                <w:w w:val="99"/>
              </w:rPr>
              <w:t>(State or other jurisdiction of incorporation)</w:t>
            </w:r>
          </w:p>
        </w:tc>
        <w:tc>
          <w:tcPr>
            <w:tcW w:w="4260" w:type="dxa"/>
            <w:vAlign w:val="bottom"/>
          </w:tcPr>
          <w:p>
            <w:pPr>
              <w:jc w:val="center"/>
              <w:ind w:right="230"/>
              <w:spacing w:after="0"/>
              <w:rPr>
                <w:sz w:val="20"/>
                <w:szCs w:val="20"/>
                <w:color w:val="auto"/>
              </w:rPr>
            </w:pPr>
            <w:r>
              <w:rPr>
                <w:rFonts w:ascii="Arial" w:cs="Arial" w:eastAsia="Arial" w:hAnsi="Arial"/>
                <w:sz w:val="18"/>
                <w:szCs w:val="18"/>
                <w:color w:val="auto"/>
              </w:rPr>
              <w:t>(Commission file number)</w:t>
            </w:r>
          </w:p>
        </w:tc>
        <w:tc>
          <w:tcPr>
            <w:tcW w:w="20" w:type="dxa"/>
            <w:vAlign w:val="bottom"/>
          </w:tcPr>
          <w:p>
            <w:pPr>
              <w:spacing w:after="0"/>
              <w:rPr>
                <w:sz w:val="20"/>
                <w:szCs w:val="20"/>
                <w:color w:val="auto"/>
              </w:rPr>
            </w:pPr>
          </w:p>
        </w:tc>
      </w:tr>
      <w:tr>
        <w:trPr>
          <w:trHeight w:val="693"/>
        </w:trPr>
        <w:tc>
          <w:tcPr>
            <w:tcW w:w="20" w:type="dxa"/>
            <w:vAlign w:val="bottom"/>
          </w:tcPr>
          <w:p>
            <w:pPr>
              <w:spacing w:after="0"/>
              <w:rPr>
                <w:sz w:val="24"/>
                <w:szCs w:val="24"/>
                <w:color w:val="auto"/>
              </w:rPr>
            </w:pPr>
          </w:p>
        </w:tc>
        <w:tc>
          <w:tcPr>
            <w:tcW w:w="49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3556 Lake Shore Road</w:t>
            </w: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94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P.O. Box 2028</w:t>
            </w:r>
          </w:p>
        </w:tc>
        <w:tc>
          <w:tcPr>
            <w:tcW w:w="4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49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8"/>
              </w:rPr>
              <w:t>Buffalo, New York</w:t>
            </w:r>
          </w:p>
        </w:tc>
        <w:tc>
          <w:tcPr>
            <w:tcW w:w="42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14219-0228</w:t>
            </w:r>
          </w:p>
        </w:tc>
        <w:tc>
          <w:tcPr>
            <w:tcW w:w="20" w:type="dxa"/>
            <w:vAlign w:val="bottom"/>
            <w:tcBorders>
              <w:bottom w:val="single" w:sz="8" w:color="auto"/>
            </w:tcBorders>
          </w:tcPr>
          <w:p>
            <w:pPr>
              <w:spacing w:after="0"/>
              <w:rPr>
                <w:sz w:val="22"/>
                <w:szCs w:val="22"/>
                <w:color w:val="auto"/>
              </w:rPr>
            </w:pPr>
          </w:p>
        </w:tc>
      </w:tr>
      <w:tr>
        <w:trPr>
          <w:trHeight w:val="247"/>
        </w:trPr>
        <w:tc>
          <w:tcPr>
            <w:tcW w:w="20" w:type="dxa"/>
            <w:vAlign w:val="bottom"/>
          </w:tcPr>
          <w:p>
            <w:pPr>
              <w:spacing w:after="0"/>
              <w:rPr>
                <w:sz w:val="21"/>
                <w:szCs w:val="21"/>
                <w:color w:val="auto"/>
              </w:rPr>
            </w:pPr>
          </w:p>
        </w:tc>
        <w:tc>
          <w:tcPr>
            <w:tcW w:w="4940" w:type="dxa"/>
            <w:vAlign w:val="bottom"/>
          </w:tcPr>
          <w:p>
            <w:pPr>
              <w:jc w:val="center"/>
              <w:ind w:right="250"/>
              <w:spacing w:after="0"/>
              <w:rPr>
                <w:sz w:val="20"/>
                <w:szCs w:val="20"/>
                <w:color w:val="auto"/>
              </w:rPr>
            </w:pPr>
            <w:r>
              <w:rPr>
                <w:rFonts w:ascii="Arial" w:cs="Arial" w:eastAsia="Arial" w:hAnsi="Arial"/>
                <w:sz w:val="18"/>
                <w:szCs w:val="18"/>
                <w:color w:val="auto"/>
                <w:w w:val="99"/>
              </w:rPr>
              <w:t>(Address of principal executive offices)</w:t>
            </w:r>
          </w:p>
        </w:tc>
        <w:tc>
          <w:tcPr>
            <w:tcW w:w="4260" w:type="dxa"/>
            <w:vAlign w:val="bottom"/>
          </w:tcPr>
          <w:p>
            <w:pPr>
              <w:jc w:val="center"/>
              <w:ind w:right="230"/>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21"/>
                <w:szCs w:val="21"/>
                <w:color w:val="auto"/>
              </w:rPr>
            </w:pPr>
          </w:p>
        </w:tc>
      </w:tr>
    </w:tbl>
    <w:p>
      <w:pPr>
        <w:spacing w:after="0" w:line="396"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Jeffrey J. Watorek</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Vice President and Treasurer</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(716) 826-6500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23495</wp:posOffset>
            </wp:positionV>
            <wp:extent cx="58635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39" w:lineRule="exact"/>
        <w:rPr>
          <w:sz w:val="24"/>
          <w:szCs w:val="24"/>
          <w:color w:val="auto"/>
        </w:rPr>
      </w:pPr>
    </w:p>
    <w:p>
      <w:pPr>
        <w:ind w:left="1400"/>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indicate the rule pursuant to which this form is being filed:</w:t>
      </w:r>
    </w:p>
    <w:p>
      <w:pPr>
        <w:spacing w:after="0" w:line="306" w:lineRule="exact"/>
        <w:rPr>
          <w:sz w:val="24"/>
          <w:szCs w:val="24"/>
          <w:color w:val="auto"/>
        </w:rPr>
      </w:pPr>
    </w:p>
    <w:p>
      <w:pPr>
        <w:ind w:left="20" w:firstLine="6"/>
        <w:spacing w:after="0" w:line="260" w:lineRule="exact"/>
        <w:tabs>
          <w:tab w:leader="none" w:pos="41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13q-1 under the Securities Exchange Act (17 CFR 240.13q-1) for fiscal year ended</w:t>
      </w:r>
    </w:p>
    <w:p>
      <w:pPr>
        <w:sectPr>
          <w:pgSz w:w="11900" w:h="16838" w:orient="portrait"/>
          <w:cols w:equalWidth="0" w:num="1">
            <w:col w:w="10700"/>
          </w:cols>
          <w:pgMar w:left="320" w:top="1066" w:right="8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Gibraltar Industries, Inc. (“Gibraltar” or the “Company”) has evaluated its current product lines and determined that certain products that the Company manufactures or contracts to manufacture contain tin, tungsten, tantalum, or gold, which are necessary to the functionality or production of the Company’s products into which these minerals have been incorporated. Rule 13p-1 and Form SD established under the Securities Exchange Act of 1934 define these minerals as “Conflict Minerals” and, as a result, the Company is required to conduct in good faith, a reasonable country of origin inquiry that is reasonably designed to determine whether any of the conflict minerals originated in the Democratic Republic of Congo or an adjoining country or are from recycled or scrap sources. Accordingly, Gibraltar is filing this disclosure, along with a Conflict Minerals Report referred to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Conflict Minerals Disclosure</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Company has engaged and is continuing to engage in a due diligence process, including surveying the Company's direct suppliers via an industry-standard based survey template for conflict minerals, to try to determine the sources of the conflict minerals used in the Company's products and which are purchased through a complex supply chain.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the Company's due diligence efforts and the surveys received from the Company's direct suppliers, the Company concluded that a portion of its necessary Conflict Minerals originated in the covered countries and such necessary Conflict Minerals may not have been from recycled or scrap sources.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Conflict Minerals Report required by Item 1.01 of Form SD is filed as Exhibit 1.01 hereto and is publicly available at www.gibraltar1.com under the heading “Investors” and the sub-heading “Financial Analysis &amp; SEC Filings.”</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reference to any website referred to in this Form SD is included for general information only and is not incorporated by reference in this Form SD.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Resource Extraction Issuer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Exhibit 1.01</w:t>
      </w:r>
      <w:r>
        <w:rPr>
          <w:rFonts w:ascii="Arial" w:cs="Arial" w:eastAsia="Arial" w:hAnsi="Arial"/>
          <w:sz w:val="18"/>
          <w:szCs w:val="18"/>
          <w:color w:val="0000FF"/>
        </w:rPr>
        <w:t xml:space="preserve"> </w:t>
      </w:r>
      <w:r>
        <w:rPr>
          <w:rFonts w:ascii="Arial" w:cs="Arial" w:eastAsia="Arial" w:hAnsi="Arial"/>
          <w:sz w:val="18"/>
          <w:szCs w:val="18"/>
          <w:color w:val="000000"/>
        </w:rPr>
        <w:t>– Conflict Minerals Report as required by Items 1.01 and 1.02 of Form SD.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8"/>
          <w:szCs w:val="18"/>
          <w:color w:val="auto"/>
        </w:rPr>
        <w:t>Date: May 29, 2026</w:t>
      </w:r>
      <w:r>
        <w:rPr>
          <w:sz w:val="20"/>
          <w:szCs w:val="20"/>
          <w:color w:val="auto"/>
        </w:rPr>
        <w:tab/>
      </w:r>
      <w:r>
        <w:rPr>
          <w:rFonts w:ascii="Arial" w:cs="Arial" w:eastAsia="Arial" w:hAnsi="Arial"/>
          <w:sz w:val="17"/>
          <w:szCs w:val="17"/>
          <w:b w:val="1"/>
          <w:bCs w:val="1"/>
          <w:color w:val="auto"/>
        </w:rPr>
        <w:t>GIBRALTAR INDUSTRIES, INC.</w:t>
      </w:r>
    </w:p>
    <w:p>
      <w:pPr>
        <w:spacing w:after="0" w:line="320" w:lineRule="exact"/>
        <w:rPr>
          <w:sz w:val="20"/>
          <w:szCs w:val="20"/>
          <w:color w:val="auto"/>
        </w:rPr>
      </w:pPr>
    </w:p>
    <w:p>
      <w:pPr>
        <w:ind w:left="3840"/>
        <w:spacing w:after="0"/>
        <w:tabs>
          <w:tab w:leader="none" w:pos="4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Jeffrey J. Watorek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43180</wp:posOffset>
            </wp:positionV>
            <wp:extent cx="2451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7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Jeffrey J. Watorek</w:t>
      </w:r>
    </w:p>
    <w:p>
      <w:pPr>
        <w:spacing w:after="0" w:line="6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89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1.01 Conflict Minerals Report</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Conflict Minerals Report (this “Report”) for the year ended December 31, 2025 is presented to comply with Rule 13p-1 under the Securities Exchange Act of 1934, as amended (the “Rule”). The Rule was adopted by the Securities and Exchange Commission (the “SEC”) to implement reporting and disclosure requirements related to Conflict Minerals (hereinafter defined) as directed by the Dodd-Frank Wall Street Reform and Consumer Protection Act of 2010 (the “Dodd-Frank Act”). The Rule imposes certain reporting obligations on SEC registrants whose manufactured products contain “Conflict Minerals” which are necessary to the functionality or production of their products. “Conflict Minerals” are defined as cassiterite, columbite-tantalite, gold, wolframite, and their derivatives, which are limited to tin, tantalum, and tungsten for the purposes of this assessment. The “Covered Countries” for the purposes of the Rule and this Report are the Democratic Republic of the Congo, the Republic of the Congo, the Central African Republic, South Sudan, Uganda, Rwanda, Burundi, Tanzania, Zambia and Angola.</w:t>
      </w:r>
    </w:p>
    <w:p>
      <w:pPr>
        <w:spacing w:after="0" w:line="208"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This Report has been prepared by management of Gibraltar Industries, Inc. (herein referred to as the “Company,” “Gibraltar,” “we,” “us,” or “our”). Gibraltar is a leading manufacturer and provider of products and services for the residential, agtech, and infrastructure markets.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2025, the Company committed to a plan to sell its Renewables business, which represents a strategic shift in operations. The decision was driven by a change in the Company's strategy to focus its asset portfolio and resources on its Residential, Agtech and Infrastructure segments. The Renewables business was classified as held for sale as of June 30, 2025, and met the criteria for discontinued operations. On February 20, 2026, the Company sold certain assets within its Renewables business pertaining to its electrical balance-of-systems products. The remaining portion of the Renewables business is classified as held for sale and as discontinued operations.</w:t>
      </w:r>
    </w:p>
    <w:p>
      <w:pPr>
        <w:spacing w:after="0" w:line="206"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Products Overview</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Report relates to products for which Conflict Minerals are necessary to the functionality or production of that product; that were manufactured, or contracted to be manufactured, by the Company; and for which the manufacture was completed during calendar year 2025. These products consist of trim, coil and flashings, soffit, fascia and other accessories; gutters, downspouts, gutter protection, roof drainage accessories; roof/siding panels, trims and flashing installation hardware; roof and foundation ventilation products; single point and centralized mail systems and package solutions; retractable awnings; controlled environment agriculture solutions and custom greenhouses; structural bearings; expansion joints; pavement sealant; elastomeric concrete; bridge cable protection systems; and solar racking and electrical balance of systems (collectively, “Covered Products”).</w:t>
      </w:r>
    </w:p>
    <w:p>
      <w:pPr>
        <w:spacing w:after="0" w:line="21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 Due Diligence and Conclusion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conducted in good faith a reasonable country of origin inquiry (“RCOI”) regarding the Conflict Minerals. This inquiry was reasonably designed to determine whether any of the Conflict Minerals originated in the Covered Countries and whether any of the Conflict Minerals may be from recycled or scrap sources. We used a risk-based approach to identify direct material suppliers providing products to Gibraltar which we consider to be at risk of containing Conflict Minerals ("in-scope suppliers"), and therefore subject to RCOI efforts. We require these in-scope suppliers to complete the latest version of the Conflict Minerals Reporting Template (“CMRT” or the “Template”), developed by the Responsible Minerals Initiative ("RMI"). The in-scope suppliers were sent instructions on how to complete the CMRT. The information which we received was entered into an electronic database which facilitates information processing and analysis. For calendar year 2025, we surveyed 254 in-scope suppliers as part of our RCOI efforts. While this represents a decrease from in-scope suppliers surveyed in prior years, we continue to refine our approach to identifying in-scope suppliers. Each year, we carefully assess our supplier base to ensure that our survey targets those most likely to provide products containing Conflict Minerals, thus allowing us to focus our RCOI efforts more effectively.</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supply chain with respect to the Covered Products is complex, and there are many third parties in the supply chain between the ultimate manufacturer of the Covered Products and the original sources of Conflict Minerals. The Company does not purchase Conflict Minerals directly from mines, smelters or refiners. The Company must therefore rely on its suppliers to provide information regarding the origin of Conflict Minerals that are included in the Covered Products. The Company believes that the smelters and other refiners (“smelters”) of the Conflict Minerals are best situated to identify the sources of Conflict Minerals, and therefore has structured its RCOI</w:t>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and due diligence processes to ultimately identify the applicable smelters of Conflict Minerals in the Company’s supply chain.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Based on the RCOI, the Company has reason to believe that certain of its necessary Conflict Minerals could have originated in the Covered Countries and such necessary Conflict Minerals may not have been from recycled or scrap sources.</w:t>
      </w:r>
    </w:p>
    <w:p>
      <w:pPr>
        <w:spacing w:after="0" w:line="18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Program</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developed and implemented a due diligence process designed to conform to the internationally recognized due diligence framework, the Organization for Economic Co-operation and Development (“OECD”) Due Diligence Guidance for Responsible Supply Chains of Minerals from Conflict-Affected and High-Risk-Areas, Third Edition and related supplements (the “OECD Framework”), to determine the origin of the Conflict Minerals used in our products.</w:t>
      </w:r>
    </w:p>
    <w:p>
      <w:pPr>
        <w:spacing w:after="0" w:line="203"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Process Design and Description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OECD Framework provides a five-step framework for risk-based due diligence for responsible supply chains of minerals from conflict-affected and high-risk areas. Using this framework, our Conflict Minerals due diligence process includes:</w:t>
      </w:r>
    </w:p>
    <w:p>
      <w:pPr>
        <w:spacing w:after="0" w:line="18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strong company management systems;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and assessing risk in our supply chain;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designing and implementing a strategy to respond to identified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carrying out independent third-party audit of supply chain due diligence at identified points in the supply chain;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reporting annually on supply chain due diligence.</w:t>
      </w:r>
    </w:p>
    <w:p>
      <w:pPr>
        <w:spacing w:after="0" w:line="23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Establish Strong Company Management Systems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adopted and communicated our Conflict Minerals Policy both publicly and to relevant internal and external parties that guide our overall program. Additionally, we include conflict minerals compliance requirements in the Gibraltar Supplier Handbook and in our Supplier Code of Conduct. Both our Conflict Minerals Policy and Supplier Code of Conduct are available at www.gibraltar1.com under the heading “Investors” and “Corporate Governance."</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have an operating, cross-functional internal governance team led by supply chain to ensure policy statements and control processes are followed.</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5.2.</w:t>
        <w:tab/>
        <w:t>Identify and Assess Risk in the Supply Chain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large number of suppliers in our supply chain, it is not practicable for us to survey all of our suppliers. As stated above, we identified in-scope suppliers that provide products to Gibraltar that may contain Conflict Minerals. All of these in-scope suppliers were sent a request to complete and return a CMRT. We conducted our surveys leveraging the Template and used the CMRT to identify smelter or refiner facilities and countries of origin of our necessary conflict minerals. For calendar year 2025, 80% of our in-scope suppliers surveyed responded with CMRT declarations. We have relied on these suppliers’ responses to provide us with information about the source of Conflict Minerals contained in the components supplied to us. These in-scope suppliers are similarly reliant upon information provided by their suppliers. For non-responsive in-scope suppliers we followed up with reminder communications. Suppliers who sent responses in a format other than that requested were asked to resubmit their responses using the appropriate version of the CMRT.</w:t>
      </w:r>
    </w:p>
    <w:p>
      <w:pPr>
        <w:spacing w:after="0" w:line="21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7"/>
          <w:szCs w:val="17"/>
          <w:b w:val="1"/>
          <w:bCs w:val="1"/>
          <w:color w:val="auto"/>
        </w:rPr>
        <w:t>Design and Implement a Strategy to Respond to Identified Risks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implemented a management team led by our supply chain for oversight over the conflict minerals process. Our senior management is briefed about our risk assessment plan and due diligence efforts. Our risk assessment includes our suppliers’ data submissions and our focus on improvement efforts to improve future survey efforts as well as the completeness and accuracy of our suppliers' responses. As applicable, we work with suppliers who are sourcing from smelters not participating or compliant with independent third-party conflict minerals audit programs to move towards using participating or compliant smelters within a reasonable time frame, which is dependent on the criticality of the specific part and the availability of alternative suppliers.</w:t>
      </w:r>
    </w:p>
    <w:p>
      <w:pPr>
        <w:sectPr>
          <w:pgSz w:w="11900" w:h="16838" w:orient="portrait"/>
          <w:cols w:equalWidth="0" w:num="1">
            <w:col w:w="11240"/>
          </w:cols>
          <w:pgMar w:left="320" w:top="890" w:right="339" w:bottom="1440" w:gutter="0" w:footer="0" w:header="0"/>
        </w:sectPr>
      </w:pPr>
    </w:p>
    <w:bookmarkStart w:id="5" w:name="page6"/>
    <w:bookmarkEnd w:id="5"/>
    <w:p>
      <w:pPr>
        <w:spacing w:after="0"/>
        <w:tabs>
          <w:tab w:leader="none" w:pos="48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7"/>
          <w:szCs w:val="17"/>
          <w:b w:val="1"/>
          <w:bCs w:val="1"/>
          <w:color w:val="auto"/>
        </w:rPr>
        <w:t>Carry Out Independent Third-Party Audit of Supply Chain Due Diligence at Identified Points in the Supply Chain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do not have a direct relationship with Conflict Minerals smelters and refiners, nor do we perform direct audits of these entities that provide our supply chain with the Conflict Minerals. However, we do rely upon industry, for example, Responsible Business Alliance, formerly the Electronic Industry Citizenship Coalition, and RMI's Responsible Minerals Assurance Process (“RMAP”) efforts to influence smelters and refineries to get audited and certified through RMI program.</w:t>
      </w:r>
    </w:p>
    <w:p>
      <w:pPr>
        <w:spacing w:after="0" w:line="20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5.5.</w:t>
        <w:tab/>
        <w:t>Report on Supply Chain Due Diligence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the information in this Report and made this Report available on our website.</w:t>
      </w:r>
    </w:p>
    <w:p>
      <w:pPr>
        <w:spacing w:after="0" w:line="252"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Process and Survey Responses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a survey of the active in-scope suppliers described above using the CMRT offered by RMI. The Template was developed to facilitate disclosure and communication of information regarding smelters that provide material to a company’s supply chain. It includes questions regarding a company’s policy, engagement with its direct suppliers, and a listing of the smelters the company and its suppliers use. In addition, the Template contains questions about the origin of Conflict Minerals included in their products, as well as supplier due diligence. Written instructions and recorded training illustrating the use of the tool are available on RMI’s website. The Template is widely adopted by many companies in their due diligence processes related to Conflict Minerals.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calendar year 2025, we identified 254 in-scope suppliers and received complete responses from 80% of these suppliers. We submitted follow-up requests for responses to the remaining non-responsive in-scope suppliers. The Company created and maintains an electronic database of this information. Since we are unable to verify the full source and chain of custody for all of the Conflict Minerals in our supply chain, we have elected not to present the smelter and refiner names in this report. From the survey responses received from the in-scope suppliers, 333 unique smelters were identified and the Company determined that 82 of these smelters source, or there is reason to believe that they source, from the Covered Countries. The Company did not audit these smelters, but instead relied on the RMI’s RMAP. We were able to determine that 60 of these smelters had the status of "conformant" with the relevant RMAP standard in relation to the RMI program as of May 8, 2026.</w:t>
      </w:r>
    </w:p>
    <w:p>
      <w:pPr>
        <w:spacing w:after="0" w:line="212"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Conflict Minerals Status Analysis and Conflict Status Conclusion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on information provided by our in-scope suppliers and our due diligence efforts, we concluded that a portion of our necessary Conflict Minerals originated in the Covered Countries and such necessary Conflict Minerals may not have been from recycled or scrap sources for calendar year 2025.</w:t>
      </w:r>
    </w:p>
    <w:p>
      <w:pPr>
        <w:spacing w:after="0" w:line="198"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Steps We are Taking and Plan to Take</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committed to complying with the provisions of the Rule and expect to continue our efforts to improve our conflict minerals program and related due diligence. As we further develop our program and procedures, we are taking and intend to continue to take the following steps to mitigate the risk that any of the Conflict Minerals contained in our products could benefit armed groups in the Covered Countries. These may include, but are not limited to the following:</w:t>
      </w:r>
    </w:p>
    <w:p>
      <w:pPr>
        <w:spacing w:after="0" w:line="203" w:lineRule="exact"/>
        <w:rPr>
          <w:sz w:val="20"/>
          <w:szCs w:val="20"/>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policies and processes intended to identify and limit the use of Conflict Minerals or derivative metals necessary to the functionality or production of our product(s) that finance or benefit armed groups in the Covered Countries.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knowingly procuring specified minerals that originate from facilities in the Covered Countries that are not “Conflict Free.”</w:t>
      </w:r>
    </w:p>
    <w:p>
      <w:pPr>
        <w:spacing w:after="0" w:line="252" w:lineRule="exact"/>
        <w:rPr>
          <w:rFonts w:ascii="Arial" w:cs="Arial" w:eastAsia="Arial" w:hAnsi="Arial"/>
          <w:sz w:val="18"/>
          <w:szCs w:val="18"/>
          <w:color w:val="auto"/>
        </w:rPr>
      </w:pPr>
    </w:p>
    <w:p>
      <w:pPr>
        <w:jc w:val="both"/>
        <w:ind w:left="660" w:hanging="328"/>
        <w:spacing w:after="0" w:line="31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Expecting suppliers whose products contain Conflict Minerals to establish policies, due diligence frameworks, and management systems consistent with the OECD Framework that are designed to accomplish this goal and requiring their suppliers to do the same.</w:t>
      </w:r>
    </w:p>
    <w:p>
      <w:pPr>
        <w:sectPr>
          <w:pgSz w:w="11900" w:h="16838" w:orient="portrait"/>
          <w:cols w:equalWidth="0" w:num="1">
            <w:col w:w="11240"/>
          </w:cols>
          <w:pgMar w:left="320" w:top="1133" w:right="339" w:bottom="1440" w:gutter="0" w:footer="0" w:header="0"/>
        </w:sectPr>
      </w:pPr>
    </w:p>
    <w:bookmarkStart w:id="6" w:name="page7"/>
    <w:bookmarkEnd w:id="6"/>
    <w:p>
      <w:pPr>
        <w:jc w:val="both"/>
        <w:spacing w:after="0" w:line="256" w:lineRule="auto"/>
        <w:rPr>
          <w:sz w:val="20"/>
          <w:szCs w:val="20"/>
          <w:color w:val="auto"/>
        </w:rPr>
      </w:pPr>
      <w:r>
        <w:rPr>
          <w:rFonts w:ascii="Arial" w:cs="Arial" w:eastAsia="Arial" w:hAnsi="Arial"/>
          <w:sz w:val="18"/>
          <w:szCs w:val="18"/>
          <w:color w:val="auto"/>
        </w:rPr>
        <w:t>We believe in establishing and maintaining long-term relationships with suppliers whenever possible. However, if we determine that any supplier is, or a reasonable risk exists that it may be, violating our Conflict Minerals Policy, then we generally require the supplier to promptly implement a remediation plan. Continued non-compliance or lack of willingness to take steps to address issues of concern may ultimately lead to the termination of the supplier relationship. Our efforts are not to ban procurement of minerals from the Covered Countries, but to assure procurement from responsible sources in the region. If we determine that any of the components of our products contain minerals from a mine or facility that is not participating or compliant with an independent third-party conflict mineral audit program, we intend to work towards transitioning to components that contain materials from a mine or facility that is so compliant.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Report contains forward-looking statements which express a belief, expectation or intention, as well as those that are historical fact, and include statements relating to our compliance efforts and expected actions. The words “expects,” “intends,” “plans,” “believes,” and “anticipates” and similar expressions are used to identify these forward-looking statements. These statements are not guarantees of future actions or performance and involve certain risks, uncertainties and assumptions that are difficult to predict with regards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 and uncertainty. Undue reliance should not be placed on these forward-looking statements.</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6"/>
    </w:lvl>
  </w:abstractNum>
  <w:abstractNum w:abstractNumId="8">
    <w:nsid w:val="4DB127F8"/>
    <w:multiLevelType w:val="hybridMultilevel"/>
    <w:lvl w:ilvl="0">
      <w:lvlJc w:val="left"/>
      <w:lvlText w:val="%1."/>
      <w:numFmt w:val="decimal"/>
      <w:start w:val="7"/>
    </w:lvl>
  </w:abstractNum>
  <w:abstractNum w:abstractNumId="9">
    <w:nsid w:val="216231B"/>
    <w:multiLevelType w:val="hybridMultilevel"/>
    <w:lvl w:ilvl="0">
      <w:lvlJc w:val="left"/>
      <w:lvlText w:val="%1."/>
      <w:numFmt w:val="decimal"/>
      <w:start w:val="8"/>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2026-05-29T13:14:56Z</dcterms:created>
  <dcterms:modified xsi:type="dcterms:W3CDTF">2026-05-29T13:14:56Z</dcterms:modified>
</cp:coreProperties>
</file>