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100"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FORM 8-K</w:t>
      </w:r>
    </w:p>
    <w:p>
      <w:pPr>
        <w:spacing w:after="0" w:line="12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Pursuant to Section 13 or 15(d) of the Securities Exchange Act of 1934</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May 8, 2026 (May 7, 2026)</w:t>
      </w:r>
    </w:p>
    <w:p>
      <w:pPr>
        <w:spacing w:after="0" w:line="102"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GIBRALTAR INDUSTRIES,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200"/>
          </w:cols>
          <w:pgMar w:left="320" w:top="1222" w:right="379" w:bottom="1440" w:gutter="0" w:footer="0" w:header="0"/>
        </w:sectPr>
      </w:pPr>
    </w:p>
    <w:p>
      <w:pPr>
        <w:spacing w:after="0" w:line="112" w:lineRule="exact"/>
        <w:rPr>
          <w:sz w:val="24"/>
          <w:szCs w:val="24"/>
          <w:color w:val="auto"/>
        </w:rPr>
      </w:pPr>
    </w:p>
    <w:p>
      <w:pPr>
        <w:ind w:left="1300"/>
        <w:spacing w:after="0"/>
        <w:rPr>
          <w:sz w:val="20"/>
          <w:szCs w:val="20"/>
          <w:color w:val="auto"/>
        </w:rPr>
      </w:pPr>
      <w:r>
        <w:rPr>
          <w:rFonts w:ascii="Arial" w:cs="Arial" w:eastAsia="Arial" w:hAnsi="Arial"/>
          <w:sz w:val="21"/>
          <w:szCs w:val="21"/>
          <w:color w:val="auto"/>
        </w:rPr>
        <w:t>Delaware</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jc w:val="center"/>
        <w:ind w:right="2180"/>
        <w:spacing w:after="0"/>
        <w:rPr>
          <w:sz w:val="20"/>
          <w:szCs w:val="20"/>
          <w:color w:val="auto"/>
        </w:rPr>
      </w:pPr>
      <w:r>
        <w:rPr>
          <w:rFonts w:ascii="Arial" w:cs="Arial" w:eastAsia="Arial" w:hAnsi="Arial"/>
          <w:sz w:val="21"/>
          <w:szCs w:val="21"/>
          <w:color w:val="auto"/>
        </w:rPr>
        <w:t>0-22462</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rPr>
          <w:sz w:val="20"/>
          <w:szCs w:val="20"/>
          <w:color w:val="auto"/>
        </w:rPr>
      </w:pPr>
      <w:r>
        <w:rPr>
          <w:rFonts w:ascii="Arial" w:cs="Arial" w:eastAsia="Arial" w:hAnsi="Arial"/>
          <w:sz w:val="21"/>
          <w:szCs w:val="21"/>
          <w:color w:val="auto"/>
        </w:rPr>
        <w:t>16-1445150</w:t>
      </w:r>
    </w:p>
    <w:p>
      <w:pPr>
        <w:spacing w:after="0" w:line="42" w:lineRule="exact"/>
        <w:rPr>
          <w:sz w:val="24"/>
          <w:szCs w:val="24"/>
          <w:color w:val="auto"/>
        </w:rPr>
      </w:pPr>
    </w:p>
    <w:p>
      <w:pPr>
        <w:sectPr>
          <w:pgSz w:w="11900" w:h="16838" w:orient="portrait"/>
          <w:cols w:equalWidth="0" w:num="3">
            <w:col w:w="4500" w:space="720"/>
            <w:col w:w="2960" w:space="720"/>
            <w:col w:w="2300"/>
          </w:cols>
          <w:pgMar w:left="320" w:top="1222" w:right="379" w:bottom="1440" w:gutter="0" w:footer="0" w:header="0"/>
          <w:type w:val="continuous"/>
        </w:sectPr>
      </w:pPr>
    </w:p>
    <w:p>
      <w:pPr>
        <w:ind w:left="520"/>
        <w:spacing w:after="0"/>
        <w:rPr>
          <w:sz w:val="20"/>
          <w:szCs w:val="20"/>
          <w:color w:val="auto"/>
        </w:rPr>
      </w:pPr>
      <w:r>
        <w:rPr>
          <w:rFonts w:ascii="Arial" w:cs="Arial" w:eastAsia="Arial" w:hAnsi="Arial"/>
          <w:sz w:val="19"/>
          <w:szCs w:val="19"/>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(IRS Employer Identification No.)</w:t>
      </w:r>
    </w:p>
    <w:p>
      <w:pPr>
        <w:spacing w:after="0" w:line="7" w:lineRule="exact"/>
        <w:rPr>
          <w:sz w:val="24"/>
          <w:szCs w:val="24"/>
          <w:color w:val="auto"/>
        </w:rPr>
      </w:pPr>
    </w:p>
    <w:p>
      <w:pPr>
        <w:sectPr>
          <w:pgSz w:w="11900" w:h="16838" w:orient="portrait"/>
          <w:cols w:equalWidth="0" w:num="3">
            <w:col w:w="3720" w:space="720"/>
            <w:col w:w="2880" w:space="720"/>
            <w:col w:w="3160"/>
          </w:cols>
          <w:pgMar w:left="320" w:top="1222" w:right="379" w:bottom="1440" w:gutter="0" w:footer="0" w:header="0"/>
          <w:type w:val="continuous"/>
        </w:sectPr>
      </w:pPr>
    </w:p>
    <w:p>
      <w:pPr>
        <w:ind w:left="1140"/>
        <w:spacing w:after="0"/>
        <w:rPr>
          <w:sz w:val="20"/>
          <w:szCs w:val="20"/>
          <w:color w:val="auto"/>
        </w:rPr>
      </w:pPr>
      <w:r>
        <w:rPr>
          <w:rFonts w:ascii="Arial" w:cs="Arial" w:eastAsia="Arial" w:hAnsi="Arial"/>
          <w:sz w:val="20"/>
          <w:szCs w:val="20"/>
          <w:color w:val="auto"/>
        </w:rPr>
        <w:t>incorporation )</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3556 Lake Shore Road</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P.O. Box 2028</w:t>
      </w:r>
    </w:p>
    <w:p>
      <w:pPr>
        <w:jc w:val="center"/>
        <w:ind w:right="-59"/>
        <w:spacing w:after="0" w:line="236" w:lineRule="auto"/>
        <w:rPr>
          <w:sz w:val="20"/>
          <w:szCs w:val="20"/>
          <w:color w:val="auto"/>
        </w:rPr>
      </w:pPr>
      <w:r>
        <w:rPr>
          <w:rFonts w:ascii="Arial" w:cs="Arial" w:eastAsia="Arial" w:hAnsi="Arial"/>
          <w:sz w:val="22"/>
          <w:szCs w:val="22"/>
          <w:color w:val="auto"/>
        </w:rPr>
        <w:t>Buffalo, New York 14219-0228</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(Address of principal executive offices) (Zip Code)</w:t>
      </w:r>
    </w:p>
    <w:p>
      <w:pPr>
        <w:sectPr>
          <w:pgSz w:w="11900" w:h="16838" w:orient="portrait"/>
          <w:cols w:equalWidth="0" w:num="1">
            <w:col w:w="11200"/>
          </w:cols>
          <w:pgMar w:left="320" w:top="1222" w:right="379" w:bottom="1440" w:gutter="0" w:footer="0" w:header="0"/>
          <w:type w:val="continuous"/>
        </w:sectPr>
      </w:pP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(716) 826-6500</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(Registrant’s telephone number, including area code)</w:t>
      </w:r>
    </w:p>
    <w:p>
      <w:pPr>
        <w:spacing w:after="0" w:line="117" w:lineRule="exact"/>
        <w:rPr>
          <w:sz w:val="24"/>
          <w:szCs w:val="24"/>
          <w:color w:val="auto"/>
        </w:rPr>
      </w:pPr>
    </w:p>
    <w:p>
      <w:pPr>
        <w:ind w:right="140"/>
        <w:spacing w:after="0" w:line="286"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134" w:lineRule="exact"/>
        <w:rPr>
          <w:rFonts w:ascii="MS PGothic" w:cs="MS PGothic" w:eastAsia="MS PGothic" w:hAnsi="MS PGothic"/>
          <w:sz w:val="20"/>
          <w:szCs w:val="20"/>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34" w:lineRule="exact"/>
        <w:rPr>
          <w:rFonts w:ascii="MS PGothic" w:cs="MS PGothic" w:eastAsia="MS PGothic" w:hAnsi="MS PGothic"/>
          <w:sz w:val="20"/>
          <w:szCs w:val="20"/>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121" w:lineRule="exact"/>
        <w:rPr>
          <w:rFonts w:ascii="MS PGothic" w:cs="MS PGothic" w:eastAsia="MS PGothic" w:hAnsi="MS PGothic"/>
          <w:sz w:val="20"/>
          <w:szCs w:val="20"/>
          <w:color w:val="auto"/>
        </w:rPr>
      </w:pPr>
    </w:p>
    <w:p>
      <w:pPr>
        <w:ind w:right="960" w:firstLine="8"/>
        <w:spacing w:after="0" w:line="372" w:lineRule="auto"/>
        <w:tabs>
          <w:tab w:leader="none" w:pos="45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67"/>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Title of each class</w:t>
            </w:r>
          </w:p>
        </w:tc>
        <w:tc>
          <w:tcPr>
            <w:tcW w:w="100" w:type="dxa"/>
            <w:vAlign w:val="bottom"/>
          </w:tcPr>
          <w:p>
            <w:pPr>
              <w:spacing w:after="0"/>
              <w:rPr>
                <w:sz w:val="23"/>
                <w:szCs w:val="2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Trading Symbol</w:t>
            </w:r>
          </w:p>
        </w:tc>
        <w:tc>
          <w:tcPr>
            <w:tcW w:w="100" w:type="dxa"/>
            <w:vAlign w:val="bottom"/>
          </w:tcPr>
          <w:p>
            <w:pPr>
              <w:spacing w:after="0"/>
              <w:rPr>
                <w:sz w:val="23"/>
                <w:szCs w:val="23"/>
                <w:color w:val="auto"/>
              </w:rPr>
            </w:pP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Name of each exchange on which registered</w:t>
            </w:r>
          </w:p>
        </w:tc>
        <w:tc>
          <w:tcPr>
            <w:tcW w:w="0" w:type="dxa"/>
            <w:vAlign w:val="bottom"/>
          </w:tcPr>
          <w:p>
            <w:pPr>
              <w:spacing w:after="0"/>
              <w:rPr>
                <w:sz w:val="1"/>
                <w:szCs w:val="1"/>
                <w:color w:val="auto"/>
              </w:rPr>
            </w:pPr>
          </w:p>
        </w:tc>
      </w:tr>
      <w:tr>
        <w:trPr>
          <w:trHeight w:val="186"/>
        </w:trPr>
        <w:tc>
          <w:tcPr>
            <w:tcW w:w="3580" w:type="dxa"/>
            <w:vAlign w:val="bottom"/>
          </w:tcPr>
          <w:p>
            <w:pPr>
              <w:jc w:val="center"/>
              <w:spacing w:after="0" w:line="185" w:lineRule="exact"/>
              <w:rPr>
                <w:sz w:val="20"/>
                <w:szCs w:val="20"/>
                <w:color w:val="auto"/>
              </w:rPr>
            </w:pPr>
            <w:r>
              <w:rPr>
                <w:rFonts w:ascii="Arial" w:cs="Arial" w:eastAsia="Arial" w:hAnsi="Arial"/>
                <w:sz w:val="20"/>
                <w:szCs w:val="20"/>
                <w:b w:val="1"/>
                <w:bCs w:val="1"/>
                <w:color w:val="auto"/>
                <w:w w:val="98"/>
              </w:rPr>
              <w:t>Common Stock, $0.01 par value per</w:t>
            </w:r>
          </w:p>
        </w:tc>
        <w:tc>
          <w:tcPr>
            <w:tcW w:w="100" w:type="dxa"/>
            <w:vAlign w:val="bottom"/>
          </w:tcPr>
          <w:p>
            <w:pPr>
              <w:spacing w:after="0"/>
              <w:rPr>
                <w:sz w:val="16"/>
                <w:szCs w:val="16"/>
                <w:color w:val="auto"/>
              </w:rPr>
            </w:pP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20"/>
                <w:szCs w:val="20"/>
                <w:b w:val="1"/>
                <w:bCs w:val="1"/>
                <w:color w:val="auto"/>
              </w:rPr>
              <w:t>ROCK</w:t>
            </w:r>
          </w:p>
        </w:tc>
        <w:tc>
          <w:tcPr>
            <w:tcW w:w="52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8"/>
              </w:rPr>
              <w:t>The NASDAQ Stock Market LLC</w:t>
            </w:r>
          </w:p>
        </w:tc>
        <w:tc>
          <w:tcPr>
            <w:tcW w:w="0" w:type="dxa"/>
            <w:vAlign w:val="bottom"/>
          </w:tcPr>
          <w:p>
            <w:pPr>
              <w:spacing w:after="0"/>
              <w:rPr>
                <w:sz w:val="1"/>
                <w:szCs w:val="1"/>
                <w:color w:val="auto"/>
              </w:rPr>
            </w:pPr>
          </w:p>
        </w:tc>
      </w:tr>
      <w:tr>
        <w:trPr>
          <w:trHeight w:val="273"/>
        </w:trPr>
        <w:tc>
          <w:tcPr>
            <w:tcW w:w="368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rPr>
              <w:t>share</w:t>
            </w:r>
          </w:p>
        </w:tc>
        <w:tc>
          <w:tcPr>
            <w:tcW w:w="2260" w:type="dxa"/>
            <w:vAlign w:val="bottom"/>
            <w:gridSpan w:val="2"/>
            <w:vMerge w:val="continue"/>
          </w:tcPr>
          <w:p>
            <w:pPr>
              <w:spacing w:after="0"/>
              <w:rPr>
                <w:sz w:val="23"/>
                <w:szCs w:val="23"/>
                <w:color w:val="auto"/>
              </w:rPr>
            </w:pPr>
          </w:p>
        </w:tc>
        <w:tc>
          <w:tcPr>
            <w:tcW w:w="52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ind w:right="280"/>
        <w:spacing w:after="0" w:line="271"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141" w:lineRule="exact"/>
        <w:rPr>
          <w:sz w:val="24"/>
          <w:szCs w:val="24"/>
          <w:color w:val="auto"/>
        </w:rPr>
      </w:pPr>
    </w:p>
    <w:p>
      <w:pPr>
        <w:ind w:right="20"/>
        <w:spacing w:after="0" w:line="265"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890270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2"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Gibraltar Industries, Inc. (the "Company") held its 2026 Annual Meeting of Stockholders ("2026 Annual Meeting") on May 7, 2026 in a virtual meeting format. Stockholders representing 28,786,103 shares, or 97.05%, of the common stock outstanding as of the March 16, 2026 record date were present or represented by proxy at the 2026 Annual Meeting. The items listed below were submitted to a vote of the stockholders at the 2026 Annual Meeting. The proposals are described in the Company's Definitive Proxy Statement for the 2026 Annual Meeting filed April 6, 2026. Final voting results are shown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1 - Election of Directors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be elected, each nominee for election as a director required the affirmative vote of a majority of the votes cast with respect to the director at the 2026 Annual Meeting. Eight directors were elected to hold office for a one-year term expiring in 2027 or until a successor has been duly elected and qualified, or until such director's earlier resignation, retirement or other termination of service. The following summarizes the votes received for each nominee for director.</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0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w:t>
            </w:r>
          </w:p>
        </w:tc>
        <w:tc>
          <w:tcPr>
            <w:tcW w:w="2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Votes Cast For</w:t>
            </w:r>
          </w:p>
        </w:tc>
        <w:tc>
          <w:tcPr>
            <w:tcW w:w="2260" w:type="dxa"/>
            <w:vAlign w:val="bottom"/>
            <w:gridSpan w:val="2"/>
          </w:tcPr>
          <w:p>
            <w:pPr>
              <w:ind w:left="280"/>
              <w:spacing w:after="0"/>
              <w:rPr>
                <w:sz w:val="20"/>
                <w:szCs w:val="20"/>
                <w:color w:val="auto"/>
              </w:rPr>
            </w:pPr>
            <w:r>
              <w:rPr>
                <w:rFonts w:ascii="Arial" w:cs="Arial" w:eastAsia="Arial" w:hAnsi="Arial"/>
                <w:sz w:val="18"/>
                <w:szCs w:val="18"/>
                <w:b w:val="1"/>
                <w:bCs w:val="1"/>
                <w:color w:val="auto"/>
              </w:rPr>
              <w:t>Votes Cast Against</w:t>
            </w:r>
          </w:p>
        </w:tc>
        <w:tc>
          <w:tcPr>
            <w:tcW w:w="2160" w:type="dxa"/>
            <w:vAlign w:val="bottom"/>
          </w:tcPr>
          <w:p>
            <w:pPr>
              <w:ind w:left="760"/>
              <w:spacing w:after="0"/>
              <w:rPr>
                <w:sz w:val="20"/>
                <w:szCs w:val="20"/>
                <w:color w:val="auto"/>
              </w:rPr>
            </w:pPr>
            <w:r>
              <w:rPr>
                <w:rFonts w:ascii="Arial" w:cs="Arial" w:eastAsia="Arial" w:hAnsi="Arial"/>
                <w:sz w:val="18"/>
                <w:szCs w:val="18"/>
                <w:b w:val="1"/>
                <w:bCs w:val="1"/>
                <w:color w:val="auto"/>
              </w:rPr>
              <w:t>Abstain</w:t>
            </w:r>
          </w:p>
        </w:tc>
      </w:tr>
      <w:tr>
        <w:trPr>
          <w:trHeight w:val="223"/>
        </w:trPr>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Mark G. Barberio</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27,375,890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744,765</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11,026</w:t>
            </w:r>
          </w:p>
        </w:tc>
      </w:tr>
      <w:tr>
        <w:trPr>
          <w:trHeight w:val="229"/>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William T. Bosway</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27,264,368</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8"/>
              </w:rPr>
              <w:t>850,411</w:t>
            </w:r>
          </w:p>
        </w:tc>
        <w:tc>
          <w:tcPr>
            <w:tcW w:w="8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8"/>
              </w:rPr>
              <w:t>16,902</w:t>
            </w:r>
          </w:p>
        </w:tc>
      </w:tr>
      <w:tr>
        <w:trPr>
          <w:trHeight w:val="229"/>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S. Metcalf</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27,301,493</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819,161</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11,027</w:t>
            </w:r>
          </w:p>
        </w:tc>
      </w:tr>
      <w:tr>
        <w:trPr>
          <w:trHeight w:val="230"/>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Gwendolyn G. Mizell</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27,206,417</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8"/>
              </w:rPr>
              <w:t>728,714</w:t>
            </w:r>
          </w:p>
        </w:tc>
        <w:tc>
          <w:tcPr>
            <w:tcW w:w="8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196,550</w:t>
            </w:r>
          </w:p>
        </w:tc>
      </w:tr>
      <w:tr>
        <w:trPr>
          <w:trHeight w:val="229"/>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Linda K. Myers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26,048,891</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2,071,616</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11,174</w:t>
            </w:r>
          </w:p>
        </w:tc>
      </w:tr>
      <w:tr>
        <w:trPr>
          <w:trHeight w:val="229"/>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James B. Nish</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27,428,368</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8"/>
              </w:rPr>
              <w:t>692,139</w:t>
            </w:r>
          </w:p>
        </w:tc>
        <w:tc>
          <w:tcPr>
            <w:tcW w:w="8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8"/>
              </w:rPr>
              <w:t>11,174</w:t>
            </w:r>
          </w:p>
        </w:tc>
      </w:tr>
      <w:tr>
        <w:trPr>
          <w:trHeight w:val="230"/>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Atlee Valentine Pope</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27,251,894</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683,957</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195,830</w:t>
            </w:r>
          </w:p>
        </w:tc>
      </w:tr>
      <w:tr>
        <w:trPr>
          <w:trHeight w:val="239"/>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Manish H. Shah</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27,255,461</w:t>
            </w:r>
          </w:p>
        </w:tc>
        <w:tc>
          <w:tcPr>
            <w:tcW w:w="10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8"/>
              </w:rPr>
              <w:t>679,824</w:t>
            </w:r>
          </w:p>
        </w:tc>
        <w:tc>
          <w:tcPr>
            <w:tcW w:w="8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196,396</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2 - Advisory Vote on Executive Compensation ("Say-on-Pay")</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stockholders approved the compensation of the Company's named executive officers in the advisory Say-on-Pay vote. The following summarizes the voting results for the advisory "Say-on-Pay" vote: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Votes Cast For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Votes Cast Against</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Abstain</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7"/>
              </w:rPr>
              <w:t>Broker Non-Votes</w:t>
            </w:r>
          </w:p>
        </w:tc>
      </w:tr>
      <w:tr>
        <w:trPr>
          <w:trHeight w:val="223"/>
        </w:trPr>
        <w:tc>
          <w:tcPr>
            <w:tcW w:w="274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27,265,479</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853,892</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rPr>
              <w:t>12,310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654,422</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3 - Ratification of Selection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selection of Ernst &amp; Young LLP as the Company's Independent Registered Public Accounting Firm for the year ending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2026 was ratified, based upon the following votes: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Votes Cast For</w:t>
            </w:r>
          </w:p>
        </w:tc>
        <w:tc>
          <w:tcPr>
            <w:tcW w:w="2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Votes Cast Against</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9"/>
              </w:rPr>
              <w:t>Abstain</w:t>
            </w:r>
          </w:p>
        </w:tc>
        <w:tc>
          <w:tcPr>
            <w:tcW w:w="2840" w:type="dxa"/>
            <w:vAlign w:val="bottom"/>
          </w:tcPr>
          <w:p>
            <w:pPr>
              <w:spacing w:after="0"/>
              <w:rPr>
                <w:sz w:val="22"/>
                <w:szCs w:val="22"/>
                <w:color w:val="auto"/>
              </w:rPr>
            </w:pPr>
          </w:p>
        </w:tc>
      </w:tr>
      <w:tr>
        <w:trPr>
          <w:trHeight w:val="230"/>
        </w:trPr>
        <w:tc>
          <w:tcPr>
            <w:tcW w:w="274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28,156,147</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611,037</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rPr>
              <w:t>18,919</w:t>
            </w:r>
          </w:p>
        </w:tc>
        <w:tc>
          <w:tcPr>
            <w:tcW w:w="2840" w:type="dxa"/>
            <w:vAlign w:val="bottom"/>
          </w:tcPr>
          <w:p>
            <w:pPr>
              <w:spacing w:after="0"/>
              <w:rPr>
                <w:sz w:val="19"/>
                <w:szCs w:val="19"/>
                <w:color w:val="auto"/>
              </w:rPr>
            </w:pPr>
          </w:p>
        </w:tc>
      </w:tr>
      <w:tr>
        <w:trPr>
          <w:trHeight w:val="709"/>
        </w:trPr>
        <w:tc>
          <w:tcPr>
            <w:tcW w:w="2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88" w:lineRule="exact"/>
        <w:rPr>
          <w:sz w:val="20"/>
          <w:szCs w:val="20"/>
          <w:color w:val="auto"/>
        </w:rPr>
      </w:pPr>
    </w:p>
    <w:tbl>
      <w:tblPr>
        <w:tblLayout w:type="fixed"/>
        <w:tblInd w:w="340" w:type="dxa"/>
        <w:tblCellMar>
          <w:top w:w="0" w:type="dxa"/>
          <w:left w:w="0" w:type="dxa"/>
          <w:bottom w:w="0" w:type="dxa"/>
          <w:right w:w="0" w:type="dxa"/>
        </w:tblCellMar>
      </w:tblPr>
      <w:tr>
        <w:trPr>
          <w:trHeight w:val="247"/>
        </w:trPr>
        <w:tc>
          <w:tcPr>
            <w:tcW w:w="9740" w:type="dxa"/>
            <w:vAlign w:val="bottom"/>
            <w:gridSpan w:val="2"/>
          </w:tcPr>
          <w:p>
            <w:pPr>
              <w:ind w:left="4040"/>
              <w:spacing w:after="0"/>
              <w:rPr>
                <w:sz w:val="20"/>
                <w:szCs w:val="20"/>
                <w:color w:val="auto"/>
              </w:rPr>
            </w:pPr>
            <w:r>
              <w:rPr>
                <w:rFonts w:ascii="Arial" w:cs="Arial" w:eastAsia="Arial" w:hAnsi="Arial"/>
                <w:sz w:val="18"/>
                <w:szCs w:val="18"/>
                <w:b w:val="1"/>
                <w:bCs w:val="1"/>
                <w:color w:val="auto"/>
              </w:rPr>
              <w:t>GIBRALTAR INDUSTRIES, INC.</w:t>
            </w:r>
          </w:p>
        </w:tc>
      </w:tr>
      <w:tr>
        <w:trPr>
          <w:trHeight w:val="401"/>
        </w:trPr>
        <w:tc>
          <w:tcPr>
            <w:tcW w:w="4740" w:type="dxa"/>
            <w:vAlign w:val="bottom"/>
          </w:tcPr>
          <w:p>
            <w:pPr>
              <w:spacing w:after="0"/>
              <w:rPr>
                <w:sz w:val="20"/>
                <w:szCs w:val="20"/>
                <w:color w:val="auto"/>
              </w:rPr>
            </w:pPr>
            <w:r>
              <w:rPr>
                <w:rFonts w:ascii="Arial" w:cs="Arial" w:eastAsia="Arial" w:hAnsi="Arial"/>
                <w:sz w:val="18"/>
                <w:szCs w:val="18"/>
                <w:color w:val="auto"/>
              </w:rPr>
              <w:t>Date: May 8, 2026</w:t>
            </w:r>
          </w:p>
        </w:tc>
        <w:tc>
          <w:tcPr>
            <w:tcW w:w="5000" w:type="dxa"/>
            <w:vAlign w:val="bottom"/>
          </w:tcPr>
          <w:p>
            <w:pPr>
              <w:spacing w:after="0"/>
              <w:rPr>
                <w:sz w:val="24"/>
                <w:szCs w:val="24"/>
                <w:color w:val="auto"/>
              </w:rPr>
            </w:pPr>
          </w:p>
        </w:tc>
      </w:tr>
      <w:tr>
        <w:trPr>
          <w:trHeight w:val="235"/>
        </w:trPr>
        <w:tc>
          <w:tcPr>
            <w:tcW w:w="4740" w:type="dxa"/>
            <w:vAlign w:val="bottom"/>
          </w:tcPr>
          <w:p>
            <w:pPr>
              <w:ind w:left="404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A. Lovechio</w:t>
            </w:r>
          </w:p>
        </w:tc>
      </w:tr>
      <w:tr>
        <w:trPr>
          <w:trHeight w:val="218"/>
        </w:trPr>
        <w:tc>
          <w:tcPr>
            <w:tcW w:w="474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Joseph A. Lovechio</w:t>
            </w:r>
          </w:p>
        </w:tc>
      </w:tr>
      <w:tr>
        <w:trPr>
          <w:trHeight w:val="239"/>
        </w:trPr>
        <w:tc>
          <w:tcPr>
            <w:tcW w:w="474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sectPr>
      <w:pgSz w:w="11900" w:h="16838" w:orient="portrait"/>
      <w:cols w:equalWidth="0" w:num="1">
        <w:col w:w="11200"/>
      </w:cols>
      <w:pgMar w:left="320" w:top="116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2026-05-08T09:55:07Z</dcterms:created>
  <dcterms:modified xsi:type="dcterms:W3CDTF">2026-05-08T09:55:07Z</dcterms:modified>
</cp:coreProperties>
</file>