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0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8-K</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 Securities Exchange Act of 1934</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November 5, 2026 (November 2, 2026)</w:t>
      </w:r>
    </w:p>
    <w:p>
      <w:pPr>
        <w:spacing w:after="0" w:line="114"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GIBRALTAR INDUSTRIES,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00"/>
          </w:cols>
          <w:pgMar w:left="320" w:top="1222" w:right="379" w:bottom="1440" w:gutter="0" w:footer="0" w:header="0"/>
        </w:sectPr>
      </w:pPr>
    </w:p>
    <w:p>
      <w:pPr>
        <w:spacing w:after="0" w:line="112" w:lineRule="exact"/>
        <w:rPr>
          <w:sz w:val="24"/>
          <w:szCs w:val="24"/>
          <w:color w:val="auto"/>
        </w:rPr>
      </w:pPr>
    </w:p>
    <w:p>
      <w:pPr>
        <w:ind w:left="1300"/>
        <w:spacing w:after="0"/>
        <w:rPr>
          <w:sz w:val="20"/>
          <w:szCs w:val="20"/>
          <w:color w:val="auto"/>
        </w:rPr>
      </w:pPr>
      <w:r>
        <w:rPr>
          <w:rFonts w:ascii="Arial" w:cs="Arial" w:eastAsia="Arial" w:hAnsi="Arial"/>
          <w:sz w:val="21"/>
          <w:szCs w:val="2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jc w:val="center"/>
        <w:ind w:right="2060"/>
        <w:spacing w:after="0"/>
        <w:rPr>
          <w:sz w:val="20"/>
          <w:szCs w:val="20"/>
          <w:color w:val="auto"/>
        </w:rPr>
      </w:pPr>
      <w:r>
        <w:rPr>
          <w:rFonts w:ascii="Arial" w:cs="Arial" w:eastAsia="Arial" w:hAnsi="Arial"/>
          <w:sz w:val="21"/>
          <w:szCs w:val="21"/>
          <w:color w:val="auto"/>
        </w:rPr>
        <w:t>000-22462</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16-1445150</w:t>
      </w:r>
    </w:p>
    <w:p>
      <w:pPr>
        <w:spacing w:after="0" w:line="42" w:lineRule="exact"/>
        <w:rPr>
          <w:sz w:val="24"/>
          <w:szCs w:val="24"/>
          <w:color w:val="auto"/>
        </w:rPr>
      </w:pPr>
    </w:p>
    <w:p>
      <w:pPr>
        <w:sectPr>
          <w:pgSz w:w="11900" w:h="16838" w:orient="portrait"/>
          <w:cols w:equalWidth="0" w:num="3">
            <w:col w:w="4380" w:space="720"/>
            <w:col w:w="3080" w:space="720"/>
            <w:col w:w="2300"/>
          </w:cols>
          <w:pgMar w:left="320" w:top="1222" w:right="379" w:bottom="1440" w:gutter="0" w:footer="0" w:header="0"/>
          <w:type w:val="continuous"/>
        </w:sectPr>
      </w:pPr>
    </w:p>
    <w:p>
      <w:pPr>
        <w:ind w:left="520"/>
        <w:spacing w:after="0"/>
        <w:rPr>
          <w:sz w:val="20"/>
          <w:szCs w:val="20"/>
          <w:color w:val="auto"/>
        </w:rPr>
      </w:pPr>
      <w:r>
        <w:rPr>
          <w:rFonts w:ascii="Arial" w:cs="Arial" w:eastAsia="Arial" w:hAnsi="Arial"/>
          <w:sz w:val="19"/>
          <w:szCs w:val="19"/>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(IRS Employer Identification No.)</w:t>
      </w:r>
    </w:p>
    <w:p>
      <w:pPr>
        <w:spacing w:after="0" w:line="7" w:lineRule="exact"/>
        <w:rPr>
          <w:sz w:val="24"/>
          <w:szCs w:val="24"/>
          <w:color w:val="auto"/>
        </w:rPr>
      </w:pPr>
    </w:p>
    <w:p>
      <w:pPr>
        <w:sectPr>
          <w:pgSz w:w="11900" w:h="16838" w:orient="portrait"/>
          <w:cols w:equalWidth="0" w:num="3">
            <w:col w:w="3720" w:space="720"/>
            <w:col w:w="2880" w:space="720"/>
            <w:col w:w="3160"/>
          </w:cols>
          <w:pgMar w:left="320" w:top="1222" w:right="379" w:bottom="1440" w:gutter="0" w:footer="0" w:header="0"/>
          <w:type w:val="continuous"/>
        </w:sectPr>
      </w:pPr>
    </w:p>
    <w:p>
      <w:pPr>
        <w:ind w:left="1140"/>
        <w:spacing w:after="0"/>
        <w:rPr>
          <w:sz w:val="20"/>
          <w:szCs w:val="20"/>
          <w:color w:val="auto"/>
        </w:rPr>
      </w:pPr>
      <w:r>
        <w:rPr>
          <w:rFonts w:ascii="Arial" w:cs="Arial" w:eastAsia="Arial" w:hAnsi="Arial"/>
          <w:sz w:val="20"/>
          <w:szCs w:val="20"/>
          <w:color w:val="auto"/>
        </w:rPr>
        <w:t>incorporation )</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3556 Lake Shore Road</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P.O. Box 2028</w:t>
      </w:r>
    </w:p>
    <w:p>
      <w:pPr>
        <w:jc w:val="center"/>
        <w:ind w:right="-59"/>
        <w:spacing w:after="0" w:line="236" w:lineRule="auto"/>
        <w:rPr>
          <w:sz w:val="20"/>
          <w:szCs w:val="20"/>
          <w:color w:val="auto"/>
        </w:rPr>
      </w:pPr>
      <w:r>
        <w:rPr>
          <w:rFonts w:ascii="Arial" w:cs="Arial" w:eastAsia="Arial" w:hAnsi="Arial"/>
          <w:sz w:val="22"/>
          <w:szCs w:val="22"/>
          <w:color w:val="auto"/>
        </w:rPr>
        <w:t>Buffalo, New York 14219-0228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(Address of principal executive offices) (Zip Code)</w:t>
      </w:r>
    </w:p>
    <w:p>
      <w:pPr>
        <w:sectPr>
          <w:pgSz w:w="11900" w:h="16838" w:orient="portrait"/>
          <w:cols w:equalWidth="0" w:num="1">
            <w:col w:w="11200"/>
          </w:cols>
          <w:pgMar w:left="320" w:top="1222" w:right="379" w:bottom="1440" w:gutter="0" w:footer="0" w:header="0"/>
          <w:type w:val="continuous"/>
        </w:sect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(716) 826-6500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(Registrant’s telephone number, including area code)</w:t>
      </w:r>
    </w:p>
    <w:p>
      <w:pPr>
        <w:spacing w:after="0" w:line="117" w:lineRule="exact"/>
        <w:rPr>
          <w:sz w:val="24"/>
          <w:szCs w:val="24"/>
          <w:color w:val="auto"/>
        </w:rPr>
      </w:pPr>
    </w:p>
    <w:p>
      <w:pPr>
        <w:ind w:right="140"/>
        <w:spacing w:after="0" w:line="286"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4" w:lineRule="exact"/>
        <w:rPr>
          <w:rFonts w:ascii="MS PGothic" w:cs="MS PGothic" w:eastAsia="MS PGothic" w:hAnsi="MS PGothic"/>
          <w:sz w:val="20"/>
          <w:szCs w:val="20"/>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20"/>
          <w:szCs w:val="20"/>
          <w:color w:val="auto"/>
        </w:rPr>
      </w:pPr>
    </w:p>
    <w:p>
      <w:pPr>
        <w:ind w:right="960" w:firstLine="8"/>
        <w:spacing w:after="0" w:line="372" w:lineRule="auto"/>
        <w:tabs>
          <w:tab w:leader="none" w:pos="45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Title of each class</w:t>
            </w:r>
          </w:p>
        </w:tc>
        <w:tc>
          <w:tcPr>
            <w:tcW w:w="10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Trading Symbol</w:t>
            </w:r>
          </w:p>
        </w:tc>
        <w:tc>
          <w:tcPr>
            <w:tcW w:w="100" w:type="dxa"/>
            <w:vAlign w:val="bottom"/>
          </w:tcPr>
          <w:p>
            <w:pPr>
              <w:spacing w:after="0"/>
              <w:rPr>
                <w:sz w:val="23"/>
                <w:szCs w:val="23"/>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Name of each exchange on which registered</w:t>
            </w:r>
          </w:p>
        </w:tc>
        <w:tc>
          <w:tcPr>
            <w:tcW w:w="0" w:type="dxa"/>
            <w:vAlign w:val="bottom"/>
          </w:tcPr>
          <w:p>
            <w:pPr>
              <w:spacing w:after="0"/>
              <w:rPr>
                <w:sz w:val="1"/>
                <w:szCs w:val="1"/>
                <w:color w:val="auto"/>
              </w:rPr>
            </w:pPr>
          </w:p>
        </w:tc>
      </w:tr>
      <w:tr>
        <w:trPr>
          <w:trHeight w:val="186"/>
        </w:trPr>
        <w:tc>
          <w:tcPr>
            <w:tcW w:w="3580" w:type="dxa"/>
            <w:vAlign w:val="bottom"/>
          </w:tcPr>
          <w:p>
            <w:pPr>
              <w:jc w:val="center"/>
              <w:spacing w:after="0" w:line="185" w:lineRule="exact"/>
              <w:rPr>
                <w:sz w:val="20"/>
                <w:szCs w:val="20"/>
                <w:color w:val="auto"/>
              </w:rPr>
            </w:pPr>
            <w:r>
              <w:rPr>
                <w:rFonts w:ascii="Arial" w:cs="Arial" w:eastAsia="Arial" w:hAnsi="Arial"/>
                <w:sz w:val="20"/>
                <w:szCs w:val="20"/>
                <w:b w:val="1"/>
                <w:bCs w:val="1"/>
                <w:color w:val="auto"/>
                <w:w w:val="98"/>
              </w:rPr>
              <w:t>Common Stock, $0.01 par value per</w:t>
            </w:r>
          </w:p>
        </w:tc>
        <w:tc>
          <w:tcPr>
            <w:tcW w:w="100" w:type="dxa"/>
            <w:vAlign w:val="bottom"/>
          </w:tcPr>
          <w:p>
            <w:pPr>
              <w:spacing w:after="0"/>
              <w:rPr>
                <w:sz w:val="16"/>
                <w:szCs w:val="16"/>
                <w:color w:val="auto"/>
              </w:rPr>
            </w:pP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20"/>
                <w:szCs w:val="20"/>
                <w:b w:val="1"/>
                <w:bCs w:val="1"/>
                <w:color w:val="auto"/>
              </w:rPr>
              <w:t>ROCK</w:t>
            </w:r>
          </w:p>
        </w:tc>
        <w:tc>
          <w:tcPr>
            <w:tcW w:w="5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The NASDAQ Stock Market LLC</w:t>
            </w:r>
          </w:p>
        </w:tc>
        <w:tc>
          <w:tcPr>
            <w:tcW w:w="0" w:type="dxa"/>
            <w:vAlign w:val="bottom"/>
          </w:tcPr>
          <w:p>
            <w:pPr>
              <w:spacing w:after="0"/>
              <w:rPr>
                <w:sz w:val="1"/>
                <w:szCs w:val="1"/>
                <w:color w:val="auto"/>
              </w:rPr>
            </w:pPr>
          </w:p>
        </w:tc>
      </w:tr>
      <w:tr>
        <w:trPr>
          <w:trHeight w:val="273"/>
        </w:trPr>
        <w:tc>
          <w:tcPr>
            <w:tcW w:w="368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rPr>
              <w:t>share</w:t>
            </w:r>
          </w:p>
        </w:tc>
        <w:tc>
          <w:tcPr>
            <w:tcW w:w="2260" w:type="dxa"/>
            <w:vAlign w:val="bottom"/>
            <w:gridSpan w:val="2"/>
            <w:vMerge w:val="continue"/>
          </w:tcPr>
          <w:p>
            <w:pPr>
              <w:spacing w:after="0"/>
              <w:rPr>
                <w:sz w:val="23"/>
                <w:szCs w:val="23"/>
                <w:color w:val="auto"/>
              </w:rPr>
            </w:pPr>
          </w:p>
        </w:tc>
        <w:tc>
          <w:tcPr>
            <w:tcW w:w="5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280"/>
        <w:spacing w:after="0" w:line="271"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1" w:lineRule="exact"/>
        <w:rPr>
          <w:sz w:val="24"/>
          <w:szCs w:val="24"/>
          <w:color w:val="auto"/>
        </w:rPr>
      </w:pPr>
    </w:p>
    <w:p>
      <w:pPr>
        <w:ind w:right="20"/>
        <w:spacing w:after="0" w:line="26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type w:val="continuous"/>
        </w:sectPr>
      </w:pPr>
    </w:p>
    <w:bookmarkStart w:id="1" w:name="page2"/>
    <w:bookmarkEnd w:id="1"/>
    <w:p>
      <w:pPr>
        <w:jc w:val="both"/>
        <w:ind w:right="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Resignation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 2026, Joseph A. Lovechio notified Gibraltar Industries, Inc. (the “Company”) of his decision to resign as Vice President and Chief Financial Officer, and as the Company’s principal financial officer and principal accounting officer, effective November 20, 2026 (the “Effective Date”), to pursue another opportunity. Mr. Lovechio’s resignation was not the result of any disagreement with the Company on any matter related to the Company’s operations, financial reporting, policies or practices.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 Appointment</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3, 2026, the Company’s Board of Directors (the “Board”) appointed Jeffrey J. Watorek, Vice President and Treasurer, as Interim Chief Financial Officer and the Company’s principal financial officer, effective as of the Effective Date, while continuing in his current role as Vice President and Treasurer. The Company has commenced a process to identify its next Chief Financial Officer.</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Watorek, age 47, has served as Vice President and Treasurer of the Company since April 2017 and also served as the Company’s Secretary from April 2017 to February 2022. Prior to April 2017, Mr. Watorek served as the Company’s Director of Financial Planning and Analysis since 2012 and Manager of External Reporting from 2008 to 2012. Prior to joining the Company, Mr. Watorek served as a Manager at Ernst &amp; Young. Mr. Watorek graduated from Canisius College (now known as Canisius University) with bachelor’s and master’s degrees in accounting.</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his appointment as Interim Chief Financial Officer, Mr. Watorek shall receive additional biweekly cash compensation of $5,750 for so long as he serves in such position, prorated for any partial period service, payable in accordance with the Company’s regular payroll practices. Mr. Watorek’s other compensation and benefits were not changed in connection with his appointment.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 Appointment</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November 3, 2026, the Board also appointed Lori Rizzo, Vice President and Corporate Controller, as the Company’s principal accounting officer, effective as of the Effective Date, while continuing in her current role as Vice President and Corporate Controller.</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Ms. Rizzo, age 58, has served as Vice President and Corporate Controller of the Company since March 2018. Prior to that, Ms. Rizzo served as Director of Accounting and Reporting as of February 2012 and as Corporate Accounting Manager upon joining the Company in January 2008. Prior to joining the Company, Ms. Rizzo held positions in internal audit and SEC reporting at various banking institutions after beginning her career in public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family relationships, as defined in Item 401(d) of Regulation S-K, between either Mr. Watorek or Ms. Rizzo and any of the Company’s directors or executive officers, or persons nominated or chosen to become a director or an executive officer. There is no arrangement or understanding between Mr. Watorek or Ms. Rizzo and any other person pursuant to which either was selected as an officer of the Company, and neither has any direct or indirect material interest in any transaction or proposed transaction required to be disclosed under Item 404(a) of Regulation 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November 5, 2026, the Company issued a press release announcing the resignation of Mr. Lovechio and the appointment of Mr. Watorek.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copy of the press release is furnished herewith as </w:t>
      </w:r>
      <w:r>
        <w:rPr>
          <w:rFonts w:ascii="Arial" w:cs="Arial" w:eastAsia="Arial" w:hAnsi="Arial"/>
          <w:sz w:val="18"/>
          <w:szCs w:val="18"/>
          <w:u w:val="single" w:color="auto"/>
          <w:color w:val="0000FF"/>
        </w:rPr>
        <w:t>Exhibit 99.1</w:t>
      </w:r>
      <w:r>
        <w:rPr>
          <w:rFonts w:ascii="Arial" w:cs="Arial" w:eastAsia="Arial" w:hAnsi="Arial"/>
          <w:sz w:val="18"/>
          <w:szCs w:val="18"/>
          <w:color w:val="auto"/>
        </w:rPr>
        <w:t xml:space="preserve"> and is incorporated herein by reference.</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information in this Item 7.01 (including </w:t>
      </w:r>
      <w:r>
        <w:rPr>
          <w:rFonts w:ascii="Arial" w:cs="Arial" w:eastAsia="Arial" w:hAnsi="Arial"/>
          <w:sz w:val="18"/>
          <w:szCs w:val="18"/>
          <w:u w:val="single" w:color="auto"/>
          <w:color w:val="0000FF"/>
        </w:rPr>
        <w:t>Exhibit 99.1</w:t>
      </w:r>
      <w:r>
        <w:rPr>
          <w:rFonts w:ascii="Arial" w:cs="Arial" w:eastAsia="Arial" w:hAnsi="Arial"/>
          <w:sz w:val="18"/>
          <w:szCs w:val="18"/>
          <w:color w:val="auto"/>
        </w:rPr>
        <w:t>)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31" w:lineRule="exact"/>
        <w:rPr>
          <w:sz w:val="20"/>
          <w:szCs w:val="20"/>
          <w:color w:val="auto"/>
        </w:rPr>
      </w:pPr>
    </w:p>
    <w:p>
      <w:pPr>
        <w:ind w:left="200"/>
        <w:spacing w:after="0"/>
        <w:tabs>
          <w:tab w:leader="none" w:pos="88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7"/>
          <w:szCs w:val="17"/>
          <w:color w:val="auto"/>
        </w:rPr>
        <w:t>Not Applicable</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00" w:type="dxa"/>
            <w:vAlign w:val="bottom"/>
            <w:gridSpan w:val="5"/>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06"/>
        </w:trPr>
        <w:tc>
          <w:tcPr>
            <w:tcW w:w="660" w:type="dxa"/>
            <w:vAlign w:val="bottom"/>
          </w:tcPr>
          <w:p>
            <w:pPr>
              <w:spacing w:after="0"/>
              <w:rPr>
                <w:sz w:val="24"/>
                <w:szCs w:val="24"/>
                <w:color w:val="auto"/>
              </w:rPr>
            </w:pPr>
          </w:p>
        </w:tc>
        <w:tc>
          <w:tcPr>
            <w:tcW w:w="1340" w:type="dxa"/>
            <w:vAlign w:val="bottom"/>
            <w:gridSpan w:val="4"/>
          </w:tcPr>
          <w:p>
            <w:pPr>
              <w:jc w:val="center"/>
              <w:ind w:right="480"/>
              <w:spacing w:after="0"/>
              <w:rPr>
                <w:sz w:val="20"/>
                <w:szCs w:val="20"/>
                <w:color w:val="auto"/>
              </w:rPr>
            </w:pPr>
            <w:r>
              <w:rPr>
                <w:rFonts w:ascii="Arial" w:cs="Arial" w:eastAsia="Arial" w:hAnsi="Arial"/>
                <w:sz w:val="18"/>
                <w:szCs w:val="18"/>
                <w:color w:val="auto"/>
                <w:w w:val="98"/>
              </w:rPr>
              <w:t>Exhibit No.</w:t>
            </w:r>
          </w:p>
        </w:tc>
        <w:tc>
          <w:tcPr>
            <w:tcW w:w="59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0000FF"/>
                <w:w w:val="99"/>
              </w:rPr>
              <w:t>Press Release issued by Gibraltar Industries, Inc. dated November 5, 2026</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2200" w:hanging="1060"/>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GIBRALTAR INDUSTRIES, INC.</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Date: November 5, 2026</w:t>
            </w:r>
          </w:p>
        </w:tc>
        <w:tc>
          <w:tcPr>
            <w:tcW w:w="5000" w:type="dxa"/>
            <w:vAlign w:val="bottom"/>
          </w:tcPr>
          <w:p>
            <w:pPr>
              <w:spacing w:after="0"/>
              <w:rPr>
                <w:sz w:val="19"/>
                <w:szCs w:val="19"/>
                <w:color w:val="auto"/>
              </w:rPr>
            </w:pPr>
          </w:p>
        </w:tc>
      </w:tr>
      <w:tr>
        <w:trPr>
          <w:trHeight w:val="235"/>
        </w:trPr>
        <w:tc>
          <w:tcPr>
            <w:tcW w:w="4740" w:type="dxa"/>
            <w:vAlign w:val="bottom"/>
          </w:tcPr>
          <w:p>
            <w:pPr>
              <w:ind w:left="40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Katherine E. Bolanowski</w:t>
            </w:r>
          </w:p>
        </w:tc>
      </w:tr>
      <w:tr>
        <w:trPr>
          <w:trHeight w:val="218"/>
        </w:trPr>
        <w:tc>
          <w:tcPr>
            <w:tcW w:w="474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Katherine E. Bolanowski</w:t>
            </w:r>
          </w:p>
        </w:tc>
      </w:tr>
      <w:tr>
        <w:trPr>
          <w:trHeight w:val="239"/>
        </w:trPr>
        <w:tc>
          <w:tcPr>
            <w:tcW w:w="474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General Counsel, 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16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5205730</wp:posOffset>
            </wp:positionH>
            <wp:positionV relativeFrom="page">
              <wp:posOffset>311785</wp:posOffset>
            </wp:positionV>
            <wp:extent cx="213423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GIBRALTAR INDUSTRIES ANNOUNCES CFO TRANSITION</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Buffalo, New York, November 5, 2026 </w:t>
      </w:r>
      <w:r>
        <w:rPr>
          <w:rFonts w:ascii="Arial" w:cs="Arial" w:eastAsia="Arial" w:hAnsi="Arial"/>
          <w:sz w:val="20"/>
          <w:szCs w:val="20"/>
          <w:color w:val="auto"/>
        </w:rPr>
        <w:t>– Gibraltar Industries, Inc. (Nasdaq: ROCK), a leading manufacturer and provider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services for the residential and agtech markets today announced that Joe Lovechio will resign as Chief Financial Officer, effective November 20, 2026, to pursue another professional opportunity.</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Company’s Board of Directors has appointed Jeffrey Watorek, who has served as Gibraltar’s Vice President and Treasurer since 2017, to serve as Interim Chief Financial Officer, effective November 20, 2026. This appointment provides continuity in the Company’s financial leadership while a search is conducted for a permanent successor.</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“Joe joined Gibraltar at a pivotal time for our business and helped lead and accelerate our recent portfolio simplification, M&amp;A, and integration initiatives. As a result, we have simplified our business while simultaneously strengthening our leadership position in the markets where we participate. I am excited for Joe and his family for the opportunity in front of him, I know he will have success, and our Management team and Board of Directors wish him the very best,” stated Bill Bosway, Chairman and Chief Executive Officer. “Jeff Watorek has been with Gibraltar over 18 years, has a great understanding of our business, and is a skilled financial executive who has consistently demonstrated integrity and judgment. Jeff has extensive experience in Treasury, M&amp;A, FP&amp;A, and Tax and has also been heavily involved in our recent portfolio simplification and M&amp;A initiatives. I want to thank Jeff for stepping in as Interim CFO during this transition.”</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Joe Lovechio commented, “I want to thank Bill, the Board and the entire team for the opportunity to serve over the past two and a half years. I am proud of our shared accomplishments as Gibraltar simplifies the portfolio and strengthens its leadership position to drive greater value. I am committed to a smooth transition and look forward to Gibraltar’s continued growth.”</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Jeff Watorek joined Gibraltar in 2008 as the Manager of External Reporting before becoming the Director of Financial Planning &amp; Analysis in 2012. In April 2017, Jeff was appointed Vice President and Treasurer. Jeff began his career with Ernst &amp; Young as Audit Staff Manager. Jeff earned a B.S. in Accounting and MBA in Accounting from Canisius College.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Gibraltar</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Gibraltar is a leading manufacturer and provider of products and services for the residential and agtech markets. Gibraltar’s mission, to make life better for people and the planet, is fueled by advancing the disciplines of engineering, science, and technology. Gibraltar is innovating to reshape critical markets in comfortable living and productive growing throughout North America. For more please visit www.gibraltar1.com.</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Certain information set forth in this news release, other than historical statements, contains “forward-looking statements” within the meaning of the Private Securities Litigation Reform Act of 1995 that are based, in whole or in part, on current expectations, estimates, forecasts, and projections about the Company’s business, and management’s beliefs about future operations, results, and financial position. These statements are not guarantees of future performance and are subject to a number of risk factors, uncertainties, and assumptions. Actual events, performance, or results could differ materially from the anticipated events, performance, or results expressed or implied by such forward-looking statements. Factors that could cause actual results to differ materially from current expectations include, among other</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5205730</wp:posOffset>
            </wp:positionH>
            <wp:positionV relativeFrom="page">
              <wp:posOffset>243205</wp:posOffset>
            </wp:positionV>
            <wp:extent cx="213423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274320"/>
                    </a:xfrm>
                    <a:prstGeom prst="rect">
                      <a:avLst/>
                    </a:prstGeom>
                    <a:noFill/>
                  </pic:spPr>
                </pic:pic>
              </a:graphicData>
            </a:graphic>
          </wp:anchor>
        </w:drawing>
        <w:t>things, the ability of Gibraltar to successfully locate and engage a new chief financial officer, the ability of Gibraltar to successfully integrate OmniMax and/or to achieve expected cost and operational synergies from the OmniMax transaction; tariffs and retaliatory tariffs imposed by the United States or other countries on imported goods, including raw materials used in the manufacturing of the Company’s products; changes to economic conditions and customer demand for the Company’s products; the availability and pricing of principal raw materials and component parts, supply chain challenges causing project delays and field operations inefficiencies and disruptions, the loss of any key customers, adverse effects of inflation, the ability to continue to improve operating margins, the ability to generate order flow and sales and increase backlog; the ability to translate backlog into net sales, other general economic conditions and conditions in the particular markets in which we operate, changes in spending due to laws and government incentives, changes in customer demand and capital spending, competitive factors and pricing pressures, the ability to develop and launch new products in a cost-effective manner, the ability to realize synergies from newly acquired businesses, disruptions to IT systems, the impact of trade and regulation, rebates, credits and incentives and variations in government spending and ability to derive expected benefits from restructuring, productivity initiatives, liquidity enhancing actions, and other cost reduction actions;. Before making any investment decisions regarding the company, we strongly advise you to read the section entitled “Risk Factors” in the most recent annual report on Form 10-K which can be accessed under the “SEC Filings” link of the “Investor Info” page of the website at www.Gibraltar1.com. The Company undertakes no obligation to update any forward-looking statements, whether as a result of new information, future events or otherwise, except as may be required by applicable law or regulation.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Alliance Advisors Investor Relations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Jody Burfening/Carolyn Capaccio</w:t>
      </w:r>
    </w:p>
    <w:p>
      <w:pPr>
        <w:spacing w:after="0" w:line="40" w:lineRule="exact"/>
        <w:rPr>
          <w:sz w:val="20"/>
          <w:szCs w:val="20"/>
          <w:color w:val="auto"/>
        </w:rPr>
      </w:pPr>
    </w:p>
    <w:p>
      <w:pPr>
        <w:ind w:right="8820" w:firstLine="8"/>
        <w:spacing w:after="0" w:line="328"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838-3777 rock@allianceadvisors.com</w:t>
      </w:r>
    </w:p>
    <w:sectPr>
      <w:pgSz w:w="11900" w:h="16838" w:orient="portrait"/>
      <w:cols w:equalWidth="0" w:num="1">
        <w:col w:w="11240"/>
      </w:cols>
      <w:pgMar w:left="320" w:top="13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2026-11-05T06:39:40Z</dcterms:created>
  <dcterms:modified xsi:type="dcterms:W3CDTF">2026-11-05T06:39:40Z</dcterms:modified>
</cp:coreProperties>
</file>