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4951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951730"/>
                    </a:xfrm>
                    <a:prstGeom prst="rect">
                      <a:avLst/>
                    </a:prstGeom>
                    <a:noFill/>
                  </pic:spPr>
                </pic:pic>
              </a:graphicData>
            </a:graphic>
          </wp:anchor>
        </w:drawing>
      </w:r>
    </w:p>
    <w:p>
      <w:pPr>
        <w:spacing w:after="0" w:line="1232"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Shah Manish H</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1080"/>
        <w:spacing w:after="0" w:line="342" w:lineRule="auto"/>
        <w:rPr>
          <w:sz w:val="20"/>
          <w:szCs w:val="20"/>
          <w:color w:val="auto"/>
        </w:rPr>
      </w:pPr>
      <w:r>
        <w:rPr>
          <w:rFonts w:ascii="Times New Roman" w:cs="Times New Roman" w:eastAsia="Times New Roman" w:hAnsi="Times New Roman"/>
          <w:sz w:val="17"/>
          <w:szCs w:val="17"/>
          <w:color w:val="0000FF"/>
        </w:rPr>
        <w:t>3556 LAKE SHORE ROAD P.O. BOX 2028</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3760" w:type="dxa"/>
            <w:vAlign w:val="bottom"/>
            <w:gridSpan w:val="3"/>
          </w:tcPr>
          <w:p>
            <w:pPr>
              <w:spacing w:after="0" w:line="218"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 xml:space="preserve">GIBRALTAR INDUSTRIES,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ROCK</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80" w:type="dxa"/>
            <w:vAlign w:val="bottom"/>
            <w:tcBorders>
              <w:top w:val="single" w:sz="8" w:color="0000EE"/>
            </w:tcBorders>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05/07/2026</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BUFFALO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14219-0228</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4"/>
          <w:szCs w:val="24"/>
          <w:color w:val="auto"/>
        </w:rPr>
      </w:pPr>
    </w:p>
    <w:p>
      <w:pPr>
        <w:spacing w:after="0"/>
        <w:rPr>
          <w:sz w:val="20"/>
          <w:szCs w:val="20"/>
          <w:color w:val="auto"/>
        </w:rPr>
      </w:pPr>
      <w:r>
        <w:rPr>
          <w:rFonts w:ascii="Arial" w:cs="Arial" w:eastAsia="Arial" w:hAnsi="Arial"/>
          <w:sz w:val="13"/>
          <w:szCs w:val="13"/>
          <w:color w:val="auto"/>
        </w:rPr>
        <w:t>Person</w:t>
      </w:r>
    </w:p>
    <w:p>
      <w:pPr>
        <w:spacing w:after="0" w:line="481" w:lineRule="exact"/>
        <w:rPr>
          <w:sz w:val="24"/>
          <w:szCs w:val="24"/>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8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320" w:type="dxa"/>
            <w:vAlign w:val="bottom"/>
          </w:tcPr>
          <w:p>
            <w:pPr>
              <w:spacing w:after="0"/>
              <w:rPr>
                <w:sz w:val="11"/>
                <w:szCs w:val="11"/>
                <w:color w:val="auto"/>
              </w:rPr>
            </w:pPr>
          </w:p>
        </w:tc>
        <w:tc>
          <w:tcPr>
            <w:tcW w:w="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74"/>
              <w:spacing w:after="0"/>
              <w:rPr>
                <w:sz w:val="20"/>
                <w:szCs w:val="20"/>
                <w:color w:val="auto"/>
              </w:rPr>
            </w:pPr>
            <w:r>
              <w:rPr>
                <w:rFonts w:ascii="Times New Roman" w:cs="Times New Roman" w:eastAsia="Times New Roman" w:hAnsi="Times New Roman"/>
                <w:sz w:val="17"/>
                <w:szCs w:val="17"/>
                <w:color w:val="0000FF"/>
                <w:w w:val="98"/>
              </w:rPr>
              <w:t>05/07/2026</w:t>
            </w: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3,059</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37.59</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12,734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5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2"/>
                <w:szCs w:val="12"/>
                <w:b w:val="1"/>
                <w:bCs w:val="1"/>
                <w:color w:val="auto"/>
                <w:w w:val="99"/>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13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22"/>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jc w:val="right"/>
              <w:ind w:right="140"/>
              <w:spacing w:after="0" w:line="129" w:lineRule="exact"/>
              <w:rPr>
                <w:sz w:val="20"/>
                <w:szCs w:val="20"/>
                <w:color w:val="auto"/>
              </w:rPr>
            </w:pPr>
            <w:r>
              <w:rPr>
                <w:rFonts w:ascii="Arial" w:cs="Arial" w:eastAsia="Arial" w:hAnsi="Arial"/>
                <w:sz w:val="12"/>
                <w:szCs w:val="12"/>
                <w:b w:val="1"/>
                <w:bCs w:val="1"/>
                <w:color w:val="auto"/>
                <w:w w:val="93"/>
              </w:rPr>
              <w:t>4)</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30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vMerge w:val="restart"/>
          </w:tcPr>
          <w:p>
            <w:pPr>
              <w:jc w:val="center"/>
              <w:ind w:right="102"/>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2"/>
                <w:szCs w:val="12"/>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7,166.06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(MSPP</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3"/>
                <w:szCs w:val="13"/>
                <w:color w:val="0000FF"/>
              </w:rPr>
              <w:t>7,166.06</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Post-2012)</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008000"/>
              </w:rPr>
              <w:t>(2)</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-2103755</wp:posOffset>
            </wp:positionV>
            <wp:extent cx="29210" cy="2108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88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which the Reporting Person is entitled to receive annually pursuant to the compensation program in effect for non-employee directors. Pursuant to the Company's Non-Employee Director Stock Deferral Plan, the Reporting Person has irrevocably elected to defer his receipt of the shares of common stock. Six (6) months following termination of the Reporting Person's service as a member of the Company's Board of Directors, shares of common stock are issued to the Reporting Person in one lump sum or in five (5) or ten (10) substantially equal installments, whichever is elected by the Reporting Person.</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allocated to the Reporting Person after 2012 with respect to the Reporting Person's deferral of a portion of his/her annual director retainer fee.</w:t>
      </w:r>
    </w:p>
    <w:p>
      <w:pPr>
        <w:spacing w:after="0" w:line="43" w:lineRule="exact"/>
        <w:rPr>
          <w:rFonts w:ascii="Times New Roman" w:cs="Times New Roman" w:eastAsia="Times New Roman" w:hAnsi="Times New Roman"/>
          <w:sz w:val="13"/>
          <w:szCs w:val="13"/>
          <w:color w:val="008000"/>
        </w:rPr>
      </w:pPr>
    </w:p>
    <w:p>
      <w:pPr>
        <w:ind w:left="40" w:right="200" w:firstLine="2"/>
        <w:spacing w:after="0"/>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payable solely in cash in one lump sum payment or in five (5) or ten (10) consecutive, substantially equal annual installments, whichever distribution form is elected by the Reporting Person, beginning six (6) months following termination of service as a director of the Company. Each restricted stock unit is converted to cash in an amount equal to the fair market value (200 day rolling average) of one share of the Company's common stock on the date of termination of the Reporting Person's service as a director of the Company.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Jeffrey J. Watorek, Attorney- </w:t>
      </w:r>
      <w:r>
        <w:rPr>
          <w:rFonts w:ascii="Times New Roman" w:cs="Times New Roman" w:eastAsia="Times New Roman" w:hAnsi="Times New Roman"/>
          <w:sz w:val="32"/>
          <w:szCs w:val="32"/>
          <w:color w:val="0000FF"/>
          <w:vertAlign w:val="subscript"/>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3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Manish H. Shah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165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522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9123" TargetMode="External"/><Relationship Id="rId14" Type="http://schemas.openxmlformats.org/officeDocument/2006/relationships/hyperlink" Target="http://www.sec.gov/cgi-bin/browse-edgar?action=getcompany&amp;CIK=0000912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2026-05-08T13:11:19Z</dcterms:created>
  <dcterms:modified xsi:type="dcterms:W3CDTF">2026-05-08T13:11:19Z</dcterms:modified>
</cp:coreProperties>
</file>