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6"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-624840</wp:posOffset>
            </wp:positionV>
            <wp:extent cx="57785" cy="638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741680</wp:posOffset>
            </wp:positionV>
            <wp:extent cx="7046595" cy="54254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425440"/>
                    </a:xfrm>
                    <a:prstGeom prst="rect">
                      <a:avLst/>
                    </a:prstGeom>
                    <a:noFill/>
                  </pic:spPr>
                </pic:pic>
              </a:graphicData>
            </a:graphic>
          </wp:anchor>
        </w:drawing>
      </w:r>
    </w:p>
    <w:p>
      <w:pPr>
        <w:spacing w:after="0" w:line="1239" w:lineRule="exact"/>
        <w:rPr>
          <w:sz w:val="24"/>
          <w:szCs w:val="24"/>
          <w:color w:val="auto"/>
        </w:rPr>
      </w:pPr>
    </w:p>
    <w:p>
      <w:pPr>
        <w:sectPr>
          <w:pgSz w:w="11900" w:h="16838" w:orient="portrait"/>
          <w:cols w:equalWidth="0" w:num="2">
            <w:col w:w="2320" w:space="260"/>
            <w:col w:w="8500"/>
          </w:cols>
          <w:pgMar w:left="460" w:top="217" w:right="359" w:bottom="98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Catlett Janet Anne</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3556 LAKE SHORE ROAD</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P.O. BOX 2028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GIBRALTAR INDUSTRIES,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ROCK</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04/26/2026</w:t>
      </w:r>
    </w:p>
    <w:p>
      <w:pPr>
        <w:spacing w:after="0" w:line="20" w:lineRule="exact"/>
        <w:rPr>
          <w:sz w:val="24"/>
          <w:szCs w:val="24"/>
          <w:color w:val="auto"/>
        </w:rPr>
      </w:pPr>
      <w:r>
        <w:rPr>
          <w:sz w:val="24"/>
          <w:szCs w:val="24"/>
          <w:color w:val="auto"/>
        </w:rPr>
        <w:br w:type="column"/>
      </w:r>
    </w:p>
    <w:p>
      <w:pPr>
        <w:ind w:left="-2" w:right="640" w:firstLine="2"/>
        <w:spacing w:after="0" w:line="25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jc w:val="center"/>
        <w:ind w:right="182"/>
        <w:spacing w:after="0"/>
        <w:rPr>
          <w:sz w:val="20"/>
          <w:szCs w:val="20"/>
          <w:color w:val="auto"/>
        </w:rPr>
      </w:pPr>
      <w:r>
        <w:rPr>
          <w:rFonts w:ascii="Times New Roman" w:cs="Times New Roman" w:eastAsia="Times New Roman" w:hAnsi="Times New Roman"/>
          <w:sz w:val="17"/>
          <w:szCs w:val="17"/>
          <w:color w:val="0000FF"/>
        </w:rPr>
        <w:t>VP, CHRO</w:t>
      </w:r>
    </w:p>
    <w:p>
      <w:pPr>
        <w:spacing w:after="0" w:line="393" w:lineRule="exact"/>
        <w:rPr>
          <w:sz w:val="24"/>
          <w:szCs w:val="24"/>
          <w:color w:val="auto"/>
        </w:rPr>
      </w:pPr>
    </w:p>
    <w:p>
      <w:pPr>
        <w:sectPr>
          <w:pgSz w:w="11900" w:h="16838" w:orient="portrait"/>
          <w:cols w:equalWidth="0" w:num="3">
            <w:col w:w="3180" w:space="720"/>
            <w:col w:w="3660" w:space="162"/>
            <w:col w:w="3358"/>
          </w:cols>
          <w:pgMar w:left="460" w:top="217" w:right="359" w:bottom="983"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60" w:type="dxa"/>
            <w:vAlign w:val="bottom"/>
            <w:gridSpan w:val="7"/>
          </w:tcPr>
          <w:p>
            <w:pPr>
              <w:jc w:val="center"/>
              <w:spacing w:after="0"/>
              <w:rPr>
                <w:sz w:val="20"/>
                <w:szCs w:val="20"/>
                <w:color w:val="auto"/>
              </w:rPr>
            </w:pPr>
            <w:r>
              <w:rPr>
                <w:rFonts w:ascii="Arial" w:cs="Arial" w:eastAsia="Arial" w:hAnsi="Arial"/>
                <w:sz w:val="13"/>
                <w:szCs w:val="13"/>
                <w:color w:val="auto"/>
                <w:w w:val="98"/>
              </w:rPr>
              <w:t>4. If Amendment, Date of Original Filed (Month/Day/Year)</w:t>
            </w:r>
          </w:p>
        </w:tc>
        <w:tc>
          <w:tcPr>
            <w:tcW w:w="60" w:type="dxa"/>
            <w:vAlign w:val="bottom"/>
          </w:tcPr>
          <w:p>
            <w:pPr>
              <w:spacing w:after="0"/>
              <w:rPr>
                <w:sz w:val="14"/>
                <w:szCs w:val="14"/>
                <w:color w:val="auto"/>
              </w:rPr>
            </w:pPr>
          </w:p>
        </w:tc>
        <w:tc>
          <w:tcPr>
            <w:tcW w:w="3720" w:type="dxa"/>
            <w:vAlign w:val="bottom"/>
            <w:gridSpan w:val="10"/>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BUFFALO</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14219-0228</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40" w:type="dxa"/>
            <w:vAlign w:val="bottom"/>
            <w:tcBorders>
              <w:bottom w:val="single" w:sz="8" w:color="2C2C2C"/>
            </w:tcBorders>
            <w:gridSpan w:val="9"/>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8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540" w:type="dxa"/>
            <w:vAlign w:val="bottom"/>
            <w:gridSpan w:val="7"/>
          </w:tcPr>
          <w:p>
            <w:pPr>
              <w:ind w:left="20"/>
              <w:spacing w:after="0" w:line="128" w:lineRule="exact"/>
              <w:rPr>
                <w:sz w:val="20"/>
                <w:szCs w:val="20"/>
                <w:color w:val="auto"/>
              </w:rPr>
            </w:pPr>
            <w:r>
              <w:rPr>
                <w:rFonts w:ascii="Arial" w:cs="Arial" w:eastAsia="Arial" w:hAnsi="Arial"/>
                <w:sz w:val="12"/>
                <w:szCs w:val="12"/>
                <w:b w:val="1"/>
                <w:bCs w:val="1"/>
                <w:color w:val="auto"/>
                <w:w w:val="98"/>
              </w:rPr>
              <w:t>Disposed Of (D) (Instr. 3, 4 and 5)  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340"/>
              <w:spacing w:after="0" w:line="129" w:lineRule="exact"/>
              <w:rPr>
                <w:sz w:val="20"/>
                <w:szCs w:val="20"/>
                <w:color w:val="auto"/>
              </w:rPr>
            </w:pPr>
            <w:r>
              <w:rPr>
                <w:rFonts w:ascii="Arial" w:cs="Arial" w:eastAsia="Arial" w:hAnsi="Arial"/>
                <w:sz w:val="12"/>
                <w:szCs w:val="12"/>
                <w:b w:val="1"/>
                <w:bCs w:val="1"/>
                <w:color w:val="auto"/>
                <w:w w:val="93"/>
              </w:rPr>
              <w:t>(A) or</w:t>
            </w:r>
          </w:p>
        </w:tc>
        <w:tc>
          <w:tcPr>
            <w:tcW w:w="6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6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40" w:type="dxa"/>
            <w:vAlign w:val="bottom"/>
            <w:gridSpan w:val="3"/>
          </w:tcPr>
          <w:p>
            <w:pPr>
              <w:ind w:left="880"/>
              <w:spacing w:after="0"/>
              <w:rPr>
                <w:sz w:val="20"/>
                <w:szCs w:val="20"/>
                <w:color w:val="auto"/>
              </w:rPr>
            </w:pPr>
            <w:r>
              <w:rPr>
                <w:rFonts w:ascii="Times New Roman" w:cs="Times New Roman" w:eastAsia="Times New Roman" w:hAnsi="Times New Roman"/>
                <w:sz w:val="17"/>
                <w:szCs w:val="17"/>
                <w:color w:val="0000FF"/>
              </w:rPr>
              <w:t>04/26/2026</w:t>
            </w: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320" w:type="dxa"/>
            <w:vAlign w:val="bottom"/>
          </w:tcPr>
          <w:p>
            <w:pPr>
              <w:spacing w:after="0"/>
              <w:rPr>
                <w:sz w:val="22"/>
                <w:szCs w:val="22"/>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17"/>
                <w:szCs w:val="17"/>
                <w:color w:val="0000FF"/>
                <w:w w:val="93"/>
              </w:rPr>
              <w:t>169</w:t>
            </w:r>
          </w:p>
        </w:tc>
        <w:tc>
          <w:tcPr>
            <w:tcW w:w="600" w:type="dxa"/>
            <w:vAlign w:val="bottom"/>
          </w:tcPr>
          <w:p>
            <w:pPr>
              <w:ind w:left="460"/>
              <w:spacing w:after="0"/>
              <w:rPr>
                <w:sz w:val="20"/>
                <w:szCs w:val="20"/>
                <w:color w:val="auto"/>
              </w:rPr>
            </w:pPr>
            <w:r>
              <w:rPr>
                <w:rFonts w:ascii="Times New Roman" w:cs="Times New Roman" w:eastAsia="Times New Roman" w:hAnsi="Times New Roman"/>
                <w:sz w:val="17"/>
                <w:szCs w:val="17"/>
                <w:color w:val="0000FF"/>
                <w:w w:val="97"/>
              </w:rPr>
              <w:t>D</w:t>
            </w:r>
          </w:p>
        </w:tc>
        <w:tc>
          <w:tcPr>
            <w:tcW w:w="60" w:type="dxa"/>
            <w:vAlign w:val="bottom"/>
          </w:tcPr>
          <w:p>
            <w:pPr>
              <w:spacing w:after="0"/>
              <w:rPr>
                <w:sz w:val="22"/>
                <w:szCs w:val="2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39.57</w:t>
            </w:r>
          </w:p>
        </w:tc>
        <w:tc>
          <w:tcPr>
            <w:tcW w:w="128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0000FF"/>
              </w:rPr>
              <w:t>13,418</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5460" w:type="dxa"/>
            <w:vAlign w:val="bottom"/>
            <w:tcBorders>
              <w:bottom w:val="single" w:sz="8" w:color="2C2C2C"/>
            </w:tcBorders>
            <w:gridSpan w:val="11"/>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5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0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3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13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Underlying Derivative</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Security (Instr. 3 and</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 or</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Number 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jc w:val="center"/>
              <w:ind w:left="2"/>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 Unit</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2,431.29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70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3"/>
                <w:szCs w:val="13"/>
                <w:color w:val="0000FF"/>
              </w:rPr>
              <w:t>(2018</w:t>
            </w:r>
          </w:p>
        </w:tc>
        <w:tc>
          <w:tcPr>
            <w:tcW w:w="64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jc w:val="center"/>
              <w:ind w:right="142"/>
              <w:spacing w:after="0"/>
              <w:rPr>
                <w:sz w:val="20"/>
                <w:szCs w:val="20"/>
                <w:color w:val="auto"/>
              </w:rPr>
            </w:pPr>
            <w:r>
              <w:rPr>
                <w:rFonts w:ascii="Times New Roman" w:cs="Times New Roman" w:eastAsia="Times New Roman" w:hAnsi="Times New Roman"/>
                <w:sz w:val="11"/>
                <w:szCs w:val="11"/>
                <w:color w:val="008000"/>
                <w:w w:val="93"/>
              </w:rPr>
              <w:t>(2)</w:t>
            </w:r>
          </w:p>
        </w:tc>
        <w:tc>
          <w:tcPr>
            <w:tcW w:w="320" w:type="dxa"/>
            <w:vAlign w:val="bottom"/>
          </w:tcPr>
          <w:p>
            <w:pPr>
              <w:spacing w:after="0"/>
              <w:rPr>
                <w:sz w:val="12"/>
                <w:szCs w:val="12"/>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1"/>
                <w:szCs w:val="11"/>
                <w:color w:val="008000"/>
              </w:rPr>
              <w:t>(2)</w:t>
            </w:r>
          </w:p>
        </w:tc>
        <w:tc>
          <w:tcPr>
            <w:tcW w:w="600" w:type="dxa"/>
            <w:vAlign w:val="bottom"/>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right"/>
              <w:ind w:right="182"/>
              <w:spacing w:after="0" w:line="142" w:lineRule="exact"/>
              <w:rPr>
                <w:sz w:val="20"/>
                <w:szCs w:val="20"/>
                <w:color w:val="auto"/>
              </w:rPr>
            </w:pPr>
            <w:r>
              <w:rPr>
                <w:rFonts w:ascii="Times New Roman" w:cs="Times New Roman" w:eastAsia="Times New Roman" w:hAnsi="Times New Roman"/>
                <w:sz w:val="13"/>
                <w:szCs w:val="13"/>
                <w:color w:val="0000FF"/>
              </w:rPr>
              <w:t>2,431.29</w:t>
            </w: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8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3"/>
                <w:szCs w:val="13"/>
                <w:color w:val="0000FF"/>
              </w:rPr>
              <w:t>MSPP</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tcBorders>
              <w:bottom w:val="single" w:sz="8" w:color="2C2C2C"/>
            </w:tcBorders>
            <w:gridSpan w:val="2"/>
          </w:tcPr>
          <w:p>
            <w:pPr>
              <w:ind w:left="60"/>
              <w:spacing w:after="0" w:line="236" w:lineRule="exact"/>
              <w:rPr>
                <w:sz w:val="20"/>
                <w:szCs w:val="20"/>
                <w:color w:val="auto"/>
              </w:rPr>
            </w:pPr>
            <w:r>
              <w:rPr>
                <w:rFonts w:ascii="Times New Roman" w:cs="Times New Roman" w:eastAsia="Times New Roman" w:hAnsi="Times New Roman"/>
                <w:sz w:val="13"/>
                <w:szCs w:val="13"/>
                <w:color w:val="0000FF"/>
              </w:rPr>
              <w:t>Match)</w:t>
            </w:r>
            <w:r>
              <w:rPr>
                <w:rFonts w:ascii="Times New Roman" w:cs="Times New Roman" w:eastAsia="Times New Roman" w:hAnsi="Times New Roman"/>
                <w:sz w:val="21"/>
                <w:szCs w:val="21"/>
                <w:color w:val="008000"/>
                <w:vertAlign w:val="superscript"/>
              </w:rPr>
              <w:t>(1)</w:t>
            </w:r>
          </w:p>
        </w:tc>
        <w:tc>
          <w:tcPr>
            <w:tcW w:w="6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1040" w:type="dxa"/>
            <w:vAlign w:val="bottom"/>
            <w:tcBorders>
              <w:bottom w:val="single" w:sz="8" w:color="2C2C2C"/>
            </w:tcBorders>
          </w:tcPr>
          <w:p>
            <w:pPr>
              <w:spacing w:after="0"/>
              <w:rPr>
                <w:sz w:val="21"/>
                <w:szCs w:val="21"/>
                <w:color w:val="auto"/>
              </w:rPr>
            </w:pPr>
          </w:p>
        </w:tc>
        <w:tc>
          <w:tcPr>
            <w:tcW w:w="112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 Unit</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vMerge w:val="restart"/>
          </w:tcPr>
          <w:p>
            <w:pPr>
              <w:jc w:val="center"/>
              <w:ind w:right="142"/>
              <w:spacing w:after="0"/>
              <w:rPr>
                <w:sz w:val="20"/>
                <w:szCs w:val="20"/>
                <w:color w:val="auto"/>
              </w:rPr>
            </w:pPr>
            <w:r>
              <w:rPr>
                <w:rFonts w:ascii="Times New Roman" w:cs="Times New Roman" w:eastAsia="Times New Roman" w:hAnsi="Times New Roman"/>
                <w:sz w:val="11"/>
                <w:szCs w:val="11"/>
                <w:color w:val="008000"/>
                <w:w w:val="93"/>
              </w:rPr>
              <w:t>(4)</w:t>
            </w:r>
          </w:p>
        </w:tc>
        <w:tc>
          <w:tcPr>
            <w:tcW w:w="320" w:type="dxa"/>
            <w:vAlign w:val="bottom"/>
          </w:tcPr>
          <w:p>
            <w:pPr>
              <w:spacing w:after="0"/>
              <w:rPr>
                <w:sz w:val="12"/>
                <w:szCs w:val="12"/>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8000"/>
              </w:rPr>
              <w:t>(4)</w:t>
            </w:r>
          </w:p>
        </w:tc>
        <w:tc>
          <w:tcPr>
            <w:tcW w:w="60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60" w:type="dxa"/>
            <w:vAlign w:val="bottom"/>
          </w:tcPr>
          <w:p>
            <w:pPr>
              <w:spacing w:after="0"/>
              <w:rPr>
                <w:sz w:val="12"/>
                <w:szCs w:val="12"/>
                <w:color w:val="auto"/>
              </w:rPr>
            </w:pPr>
          </w:p>
        </w:tc>
        <w:tc>
          <w:tcPr>
            <w:tcW w:w="620" w:type="dxa"/>
            <w:vAlign w:val="bottom"/>
            <w:vMerge w:val="restart"/>
          </w:tcPr>
          <w:p>
            <w:pPr>
              <w:jc w:val="right"/>
              <w:ind w:right="69"/>
              <w:spacing w:after="0"/>
              <w:rPr>
                <w:sz w:val="20"/>
                <w:szCs w:val="20"/>
                <w:color w:val="auto"/>
              </w:rPr>
            </w:pPr>
            <w:r>
              <w:rPr>
                <w:rFonts w:ascii="Times New Roman" w:cs="Times New Roman" w:eastAsia="Times New Roman" w:hAnsi="Times New Roman"/>
                <w:sz w:val="17"/>
                <w:szCs w:val="17"/>
                <w:color w:val="0000FF"/>
                <w:w w:val="98"/>
              </w:rPr>
              <w:t>866.44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866.44</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70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(2018</w:t>
            </w: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700" w:type="dxa"/>
            <w:vAlign w:val="bottom"/>
            <w:gridSpan w:val="3"/>
            <w:vMerge w:val="continu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MSPP)</w:t>
      </w:r>
      <w:r>
        <w:rPr>
          <w:rFonts w:ascii="Times New Roman" w:cs="Times New Roman" w:eastAsia="Times New Roman" w:hAnsi="Times New Roman"/>
          <w:sz w:val="21"/>
          <w:szCs w:val="21"/>
          <w:color w:val="008000"/>
          <w:vertAlign w:val="superscript"/>
        </w:rPr>
        <w:t>(3)</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460" w:firstLine="2"/>
        <w:spacing w:after="0" w:line="254"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matching restricted stock units allocated to the Reporting Person with respect to the Reporting Person's deferral of a portion of their annual base salary and annual cash incentive compensation pursuant to the Company's 2018 Management Stock Purchase Plan.</w:t>
      </w:r>
    </w:p>
    <w:p>
      <w:pPr>
        <w:spacing w:after="0" w:line="18" w:lineRule="exact"/>
        <w:rPr>
          <w:rFonts w:ascii="Times New Roman" w:cs="Times New Roman" w:eastAsia="Times New Roman" w:hAnsi="Times New Roman"/>
          <w:sz w:val="13"/>
          <w:szCs w:val="13"/>
          <w:color w:val="008000"/>
        </w:rPr>
      </w:pPr>
    </w:p>
    <w:p>
      <w:pPr>
        <w:ind w:left="40" w:right="160" w:firstLine="2"/>
        <w:spacing w:after="0" w:line="23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are forfeited if Reporting Person's service as an officer of the Company is terminated prior to the fifth (5th) anniversary of the Reporting Person's vesting commencement date. If service as an officer continues beyond the fifth (5th) anniversary of the Reporting Person's vesting commencement date, restricted stock units are payable solely in cash in one lump sum payment or in five (5) or ten (10) consecutive, substantially equal annual installments, whichever distribution form is elected by the Reporting Person, beginning six (6) months following termination of service. Each restricted stock unit is converted to cash in an amount equal to the fair market value of one share of the Company's common stock, as defined in the Company's 2018 Management Stock Purchase Plan, on the date of termination of the Reporting Person's service as an officer of the Company.</w:t>
      </w:r>
    </w:p>
    <w:p>
      <w:pPr>
        <w:spacing w:after="0" w:line="27" w:lineRule="exact"/>
        <w:rPr>
          <w:rFonts w:ascii="Times New Roman" w:cs="Times New Roman" w:eastAsia="Times New Roman" w:hAnsi="Times New Roman"/>
          <w:sz w:val="13"/>
          <w:szCs w:val="13"/>
          <w:color w:val="008000"/>
        </w:rPr>
      </w:pPr>
    </w:p>
    <w:p>
      <w:pPr>
        <w:ind w:left="40" w:right="460" w:firstLine="2"/>
        <w:spacing w:after="0" w:line="254"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allocated to the Reporting Person with respect to the Reporting Person's deferral of a portion of their annual cash incentive compensation pursuant to the Company's 2018 Management Stock Purchase Plan.</w:t>
      </w:r>
    </w:p>
    <w:p>
      <w:pPr>
        <w:spacing w:after="0" w:line="18" w:lineRule="exact"/>
        <w:rPr>
          <w:rFonts w:ascii="Times New Roman" w:cs="Times New Roman" w:eastAsia="Times New Roman" w:hAnsi="Times New Roman"/>
          <w:sz w:val="13"/>
          <w:szCs w:val="13"/>
          <w:color w:val="008000"/>
        </w:rPr>
      </w:pPr>
    </w:p>
    <w:p>
      <w:pPr>
        <w:ind w:left="40" w:right="200" w:firstLine="2"/>
        <w:spacing w:after="0"/>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are payable solely in cash in one lump sum payment or in five (5) or ten (10) consecutive, substantially equal annual installments, whichever distribution form is elected by the Reporting Person, beginning six (6) months following termination of service. Each restricted stock unit is converted to cash in an amount equal to the fair market value of one share of the Company's common stock, as defined in the Company's 2018 Management Stock Purchase Plan, on the date of termination of the Reporting Person's service as an officer of the Company.</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Jeffrey J. Watorek, Attorney- </w:t>
      </w:r>
      <w:r>
        <w:rPr>
          <w:rFonts w:ascii="Times New Roman" w:cs="Times New Roman" w:eastAsia="Times New Roman" w:hAnsi="Times New Roman"/>
          <w:sz w:val="32"/>
          <w:szCs w:val="32"/>
          <w:color w:val="0000FF"/>
          <w:vertAlign w:val="subscript"/>
        </w:rPr>
        <w:t>04/27/2026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639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Janet A. Catlett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-20955</wp:posOffset>
            </wp:positionV>
            <wp:extent cx="1135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3538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38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98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47846" TargetMode="External"/><Relationship Id="rId14" Type="http://schemas.openxmlformats.org/officeDocument/2006/relationships/hyperlink" Target="http://www.sec.gov/cgi-bin/browse-edgar?action=getcompany&amp;CIK=0000912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2026-04-27T13:00:44Z</dcterms:created>
  <dcterms:modified xsi:type="dcterms:W3CDTF">2026-04-27T13:00:44Z</dcterms:modified>
</cp:coreProperties>
</file>