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83820</wp:posOffset>
            </wp:positionV>
            <wp:extent cx="4166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1714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54610</wp:posOffset>
            </wp:positionV>
            <wp:extent cx="4166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17145"/>
                    </a:xfrm>
                    <a:prstGeom prst="rect">
                      <a:avLst/>
                    </a:prstGeom>
                    <a:noFill/>
                  </pic:spPr>
                </pic:pic>
              </a:graphicData>
            </a:graphic>
          </wp:anchor>
        </w:drawing>
      </w:r>
    </w:p>
    <w:p>
      <w:pPr>
        <w:spacing w:after="0" w:line="335" w:lineRule="exact"/>
        <w:rPr>
          <w:sz w:val="24"/>
          <w:szCs w:val="24"/>
          <w:color w:val="auto"/>
        </w:rPr>
      </w:pPr>
    </w:p>
    <w:p>
      <w:pPr>
        <w:ind w:left="1360" w:hanging="328"/>
        <w:spacing w:after="0"/>
        <w:tabs>
          <w:tab w:leader="none" w:pos="1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 (d)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2023</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340" w:hanging="308"/>
        <w:spacing w:after="0"/>
        <w:tabs>
          <w:tab w:leader="none" w:pos="13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 (d) OF THE SECURITIES EXCHANGE ACT OF 1934</w:t>
      </w:r>
    </w:p>
    <w:p>
      <w:pPr>
        <w:spacing w:after="0" w:line="297"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-4445</wp:posOffset>
            </wp:positionV>
            <wp:extent cx="1297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000-22462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52070</wp:posOffset>
            </wp:positionV>
            <wp:extent cx="3094355"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943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GIBRALTAR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956310</wp:posOffset>
            </wp:positionH>
            <wp:positionV relativeFrom="paragraph">
              <wp:posOffset>41275</wp:posOffset>
            </wp:positionV>
            <wp:extent cx="5229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66" w:lineRule="exact"/>
        <w:rPr>
          <w:sz w:val="24"/>
          <w:szCs w:val="24"/>
          <w:color w:val="auto"/>
        </w:rPr>
      </w:pPr>
    </w:p>
    <w:tbl>
      <w:tblPr>
        <w:tblLayout w:type="fixed"/>
        <w:tblInd w:w="1500" w:type="dxa"/>
        <w:tblCellMar>
          <w:top w:w="0" w:type="dxa"/>
          <w:left w:w="0" w:type="dxa"/>
          <w:bottom w:w="0" w:type="dxa"/>
          <w:right w:w="0" w:type="dxa"/>
        </w:tblCellMar>
      </w:tblPr>
      <w:tr>
        <w:trPr>
          <w:trHeight w:val="235"/>
        </w:trPr>
        <w:tc>
          <w:tcPr>
            <w:tcW w:w="2360" w:type="dxa"/>
            <w:vAlign w:val="bottom"/>
            <w:tcBorders>
              <w:bottom w:val="single" w:sz="8" w:color="auto"/>
            </w:tcBorders>
          </w:tcPr>
          <w:p>
            <w:pPr>
              <w:jc w:val="center"/>
              <w:ind w:left="1364"/>
              <w:spacing w:after="0"/>
              <w:rPr>
                <w:sz w:val="20"/>
                <w:szCs w:val="20"/>
                <w:color w:val="auto"/>
              </w:rPr>
            </w:pPr>
            <w:r>
              <w:rPr>
                <w:rFonts w:ascii="Arial" w:cs="Arial" w:eastAsia="Arial" w:hAnsi="Arial"/>
                <w:sz w:val="18"/>
                <w:szCs w:val="18"/>
                <w:b w:val="1"/>
                <w:bCs w:val="1"/>
                <w:color w:val="auto"/>
              </w:rPr>
              <w:t>Delaware</w:t>
            </w:r>
          </w:p>
        </w:tc>
        <w:tc>
          <w:tcPr>
            <w:tcW w:w="1440" w:type="dxa"/>
            <w:vAlign w:val="bottom"/>
            <w:tcBorders>
              <w:bottom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16-1445150</w:t>
            </w:r>
          </w:p>
        </w:tc>
      </w:tr>
      <w:tr>
        <w:trPr>
          <w:trHeight w:val="174"/>
        </w:trPr>
        <w:tc>
          <w:tcPr>
            <w:tcW w:w="3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(State or other jurisdiction of incorporation or organization)</w:t>
            </w:r>
          </w:p>
        </w:tc>
        <w:tc>
          <w:tcPr>
            <w:tcW w:w="184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3"/>
                <w:szCs w:val="13"/>
                <w:b w:val="1"/>
                <w:bCs w:val="1"/>
                <w:color w:val="auto"/>
                <w:w w:val="97"/>
              </w:rPr>
              <w:t>(I.R.S. Employer Identification No.)</w:t>
            </w:r>
          </w:p>
        </w:tc>
      </w:tr>
      <w:tr>
        <w:trPr>
          <w:trHeight w:val="292"/>
        </w:trPr>
        <w:tc>
          <w:tcPr>
            <w:tcW w:w="2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3556 Lake Shore Road</w:t>
            </w:r>
          </w:p>
        </w:tc>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P.O. Box 2028</w:t>
            </w:r>
          </w:p>
        </w:tc>
        <w:tc>
          <w:tcPr>
            <w:tcW w:w="1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Buffalo , New York</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14219-0228</w:t>
            </w:r>
          </w:p>
        </w:tc>
      </w:tr>
      <w:tr>
        <w:trPr>
          <w:trHeight w:val="174"/>
        </w:trPr>
        <w:tc>
          <w:tcPr>
            <w:tcW w:w="5640" w:type="dxa"/>
            <w:vAlign w:val="bottom"/>
            <w:gridSpan w:val="3"/>
          </w:tcPr>
          <w:p>
            <w:pPr>
              <w:ind w:left="1640"/>
              <w:spacing w:after="0"/>
              <w:rPr>
                <w:sz w:val="20"/>
                <w:szCs w:val="20"/>
                <w:color w:val="auto"/>
              </w:rPr>
            </w:pPr>
            <w:r>
              <w:rPr>
                <w:rFonts w:ascii="Arial" w:cs="Arial" w:eastAsia="Arial" w:hAnsi="Arial"/>
                <w:sz w:val="13"/>
                <w:szCs w:val="13"/>
                <w:b w:val="1"/>
                <w:bCs w:val="1"/>
                <w:color w:val="auto"/>
              </w:rPr>
              <w:t>(Address of principal executive offices)</w:t>
            </w:r>
          </w:p>
        </w:tc>
        <w:tc>
          <w:tcPr>
            <w:tcW w:w="2600" w:type="dxa"/>
            <w:vAlign w:val="bottom"/>
          </w:tcPr>
          <w:p>
            <w:pPr>
              <w:jc w:val="center"/>
              <w:spacing w:after="0"/>
              <w:rPr>
                <w:sz w:val="20"/>
                <w:szCs w:val="20"/>
                <w:color w:val="auto"/>
              </w:rPr>
            </w:pPr>
            <w:r>
              <w:rPr>
                <w:rFonts w:ascii="Arial" w:cs="Arial" w:eastAsia="Arial" w:hAnsi="Arial"/>
                <w:sz w:val="13"/>
                <w:szCs w:val="13"/>
                <w:b w:val="1"/>
                <w:bCs w:val="1"/>
                <w:color w:val="auto"/>
                <w:w w:val="99"/>
              </w:rPr>
              <w:t>(Zip Code)</w:t>
            </w:r>
          </w:p>
        </w:tc>
      </w:tr>
    </w:tbl>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(716) 826-6500</w:t>
      </w:r>
    </w:p>
    <w:p>
      <w:pPr>
        <w:spacing w:after="0" w:line="338"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9" w:lineRule="exact"/>
        <w:rPr>
          <w:sz w:val="24"/>
          <w:szCs w:val="24"/>
          <w:color w:val="auto"/>
        </w:rPr>
      </w:pPr>
    </w:p>
    <w:tbl>
      <w:tblPr>
        <w:tblLayout w:type="fixed"/>
        <w:tblInd w:w="1020" w:type="dxa"/>
        <w:tblCellMar>
          <w:top w:w="0" w:type="dxa"/>
          <w:left w:w="0" w:type="dxa"/>
          <w:bottom w:w="0" w:type="dxa"/>
          <w:right w:w="0" w:type="dxa"/>
        </w:tblCellMar>
      </w:tblPr>
      <w:tr>
        <w:trPr>
          <w:trHeight w:val="226"/>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180" w:type="dxa"/>
            <w:vAlign w:val="bottom"/>
          </w:tcPr>
          <w:p>
            <w:pPr>
              <w:spacing w:after="0"/>
              <w:rPr>
                <w:sz w:val="19"/>
                <w:szCs w:val="19"/>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3"/>
        </w:trPr>
        <w:tc>
          <w:tcPr>
            <w:tcW w:w="3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Common Stock, $0.01 par value per share</w:t>
            </w:r>
          </w:p>
        </w:tc>
        <w:tc>
          <w:tcPr>
            <w:tcW w:w="1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ROCK</w:t>
            </w:r>
          </w:p>
        </w:tc>
        <w:tc>
          <w:tcPr>
            <w:tcW w:w="3860" w:type="dxa"/>
            <w:vAlign w:val="bottom"/>
          </w:tcPr>
          <w:p>
            <w:pPr>
              <w:jc w:val="center"/>
              <w:spacing w:after="0"/>
              <w:rPr>
                <w:sz w:val="20"/>
                <w:szCs w:val="20"/>
                <w:color w:val="auto"/>
              </w:rPr>
            </w:pPr>
            <w:r>
              <w:rPr>
                <w:rFonts w:ascii="Arial" w:cs="Arial" w:eastAsia="Arial" w:hAnsi="Arial"/>
                <w:sz w:val="16"/>
                <w:szCs w:val="16"/>
                <w:b w:val="1"/>
                <w:bCs w:val="1"/>
                <w:color w:val="auto"/>
              </w:rPr>
              <w:t>NASDAQ Stock Market</w:t>
            </w:r>
          </w:p>
        </w:tc>
      </w:tr>
    </w:tbl>
    <w:p>
      <w:pPr>
        <w:spacing w:after="0" w:line="344"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53" w:lineRule="exact"/>
        <w:rPr>
          <w:sz w:val="24"/>
          <w:szCs w:val="24"/>
          <w:color w:val="auto"/>
        </w:rPr>
      </w:pPr>
    </w:p>
    <w:p>
      <w:pPr>
        <w:spacing w:after="0" w:line="184" w:lineRule="exact"/>
        <w:tabs>
          <w:tab w:leader="none" w:pos="8540" w:val="left"/>
          <w:tab w:leader="none" w:pos="912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31" w:lineRule="exact"/>
        <w:rPr>
          <w:sz w:val="24"/>
          <w:szCs w:val="24"/>
          <w:color w:val="auto"/>
        </w:rPr>
      </w:pPr>
    </w:p>
    <w:p>
      <w:pPr>
        <w:ind w:left="140"/>
        <w:spacing w:after="0" w:line="184" w:lineRule="exact"/>
        <w:tabs>
          <w:tab w:leader="none" w:pos="7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5"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 reporting company,” and "emerging growth company" in Rule 12b-2 of the Exchange Act.</w:t>
      </w:r>
    </w:p>
    <w:p>
      <w:pPr>
        <w:spacing w:after="0" w:line="7" w:lineRule="exact"/>
        <w:rPr>
          <w:sz w:val="24"/>
          <w:szCs w:val="24"/>
          <w:color w:val="auto"/>
        </w:rPr>
      </w:pPr>
    </w:p>
    <w:tbl>
      <w:tblPr>
        <w:tblLayout w:type="fixed"/>
        <w:tblInd w:w="1500" w:type="dxa"/>
        <w:tblCellMar>
          <w:top w:w="0" w:type="dxa"/>
          <w:left w:w="0" w:type="dxa"/>
          <w:bottom w:w="0" w:type="dxa"/>
          <w:right w:w="0" w:type="dxa"/>
        </w:tblCellMar>
      </w:tblPr>
      <w:tr>
        <w:trPr>
          <w:trHeight w:val="216"/>
        </w:trPr>
        <w:tc>
          <w:tcPr>
            <w:tcW w:w="2400" w:type="dxa"/>
            <w:vAlign w:val="bottom"/>
          </w:tcPr>
          <w:p>
            <w:pPr>
              <w:jc w:val="right"/>
              <w:ind w:right="539"/>
              <w:spacing w:after="0" w:line="184" w:lineRule="exact"/>
              <w:rPr>
                <w:sz w:val="20"/>
                <w:szCs w:val="20"/>
                <w:color w:val="auto"/>
              </w:rPr>
            </w:pPr>
            <w:r>
              <w:rPr>
                <w:rFonts w:ascii="Arial" w:cs="Arial" w:eastAsia="Arial" w:hAnsi="Arial"/>
                <w:sz w:val="16"/>
                <w:szCs w:val="16"/>
                <w:color w:val="auto"/>
                <w:w w:val="98"/>
              </w:rPr>
              <w:t xml:space="preserve">Large accelerated filer </w:t>
            </w:r>
            <w:r>
              <w:rPr>
                <w:rFonts w:ascii="MS PGothic" w:cs="MS PGothic" w:eastAsia="MS PGothic" w:hAnsi="MS PGothic"/>
                <w:sz w:val="16"/>
                <w:szCs w:val="16"/>
                <w:color w:val="auto"/>
                <w:w w:val="98"/>
              </w:rPr>
              <w:t>☒</w:t>
            </w:r>
          </w:p>
        </w:tc>
        <w:tc>
          <w:tcPr>
            <w:tcW w:w="3360" w:type="dxa"/>
            <w:vAlign w:val="bottom"/>
          </w:tcPr>
          <w:p>
            <w:pPr>
              <w:jc w:val="right"/>
              <w:ind w:right="519"/>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720" w:type="dxa"/>
            <w:vAlign w:val="bottom"/>
          </w:tcPr>
          <w:p>
            <w:pPr>
              <w:ind w:left="600"/>
              <w:spacing w:after="0" w:line="184" w:lineRule="exact"/>
              <w:rPr>
                <w:sz w:val="20"/>
                <w:szCs w:val="20"/>
                <w:color w:val="auto"/>
              </w:rPr>
            </w:pPr>
            <w:r>
              <w:rPr>
                <w:rFonts w:ascii="Arial" w:cs="Arial" w:eastAsia="Arial" w:hAnsi="Arial"/>
                <w:sz w:val="16"/>
                <w:szCs w:val="16"/>
                <w:color w:val="auto"/>
                <w:w w:val="99"/>
              </w:rPr>
              <w:t xml:space="preserve">Emerging growth company </w:t>
            </w:r>
            <w:r>
              <w:rPr>
                <w:rFonts w:ascii="MS PGothic" w:cs="MS PGothic" w:eastAsia="MS PGothic" w:hAnsi="MS PGothic"/>
                <w:sz w:val="16"/>
                <w:szCs w:val="16"/>
                <w:color w:val="auto"/>
                <w:w w:val="99"/>
              </w:rPr>
              <w:t>☐</w:t>
            </w:r>
          </w:p>
        </w:tc>
      </w:tr>
      <w:tr>
        <w:trPr>
          <w:trHeight w:val="498"/>
        </w:trPr>
        <w:tc>
          <w:tcPr>
            <w:tcW w:w="2400" w:type="dxa"/>
            <w:vAlign w:val="bottom"/>
          </w:tcPr>
          <w:p>
            <w:pPr>
              <w:jc w:val="right"/>
              <w:ind w:right="539"/>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3360" w:type="dxa"/>
            <w:vAlign w:val="bottom"/>
          </w:tcPr>
          <w:p>
            <w:pPr>
              <w:jc w:val="right"/>
              <w:ind w:right="519"/>
              <w:spacing w:after="0" w:line="368"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32"/>
                <w:szCs w:val="32"/>
                <w:color w:val="auto"/>
                <w:vertAlign w:val="subscript"/>
              </w:rPr>
              <w:t>☐</w:t>
            </w:r>
          </w:p>
        </w:tc>
        <w:tc>
          <w:tcPr>
            <w:tcW w:w="2720" w:type="dxa"/>
            <w:vAlign w:val="bottom"/>
          </w:tcPr>
          <w:p>
            <w:pPr>
              <w:spacing w:after="0"/>
              <w:rPr>
                <w:sz w:val="24"/>
                <w:szCs w:val="24"/>
                <w:color w:val="auto"/>
              </w:rPr>
            </w:pPr>
          </w:p>
        </w:tc>
      </w:tr>
    </w:tbl>
    <w:p>
      <w:pPr>
        <w:spacing w:after="0" w:line="51" w:lineRule="exact"/>
        <w:rPr>
          <w:sz w:val="24"/>
          <w:szCs w:val="24"/>
          <w:color w:val="auto"/>
        </w:rPr>
      </w:pPr>
    </w:p>
    <w:p>
      <w:pPr>
        <w:jc w:val="both"/>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5"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15"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750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Aggregate market value of voting Common Stock held by non-affiliates of the registrant as of June 30, 2023 was: $1.9 billion.</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20, 2024, the number of shares of Common Stock outstanding was: 30,442,954.</w:t>
      </w:r>
    </w:p>
    <w:p>
      <w:pPr>
        <w:sectPr>
          <w:pgSz w:w="11900" w:h="16838" w:orient="portrait"/>
          <w:cols w:equalWidth="0" w:num="1">
            <w:col w:w="11240"/>
          </w:cols>
          <w:pgMar w:left="320" w:top="1191" w:right="339" w:bottom="0" w:gutter="0" w:footer="0" w:header="0"/>
        </w:sectPr>
      </w:pPr>
    </w:p>
    <w:bookmarkStart w:id="1" w:name="page2"/>
    <w:bookmarkEnd w:id="1"/>
    <w:p>
      <w:pPr>
        <w:ind w:left="26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Portions of the Registrant’s Definitive Proxy Statement to be filed for its 2024 Annual Meeting of Stockholders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are incorporated by reference into Part III of this Annual Report on Form 10-K.</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Form 10-K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b w:val="1"/>
                <w:bCs w:val="1"/>
                <w:color w:val="0000FF"/>
                <w:w w:val="98"/>
              </w:rPr>
              <w:t>PART I</w:t>
            </w:r>
          </w:p>
        </w:tc>
        <w:tc>
          <w:tcPr>
            <w:tcW w:w="39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Business</w:t>
            </w:r>
          </w:p>
        </w:tc>
        <w:tc>
          <w:tcPr>
            <w:tcW w:w="814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8880" w:type="dxa"/>
            <w:vAlign w:val="bottom"/>
            <w:gridSpan w:val="29"/>
          </w:tcPr>
          <w:p>
            <w:pPr>
              <w:spacing w:after="0"/>
              <w:rPr>
                <w:sz w:val="20"/>
                <w:szCs w:val="20"/>
                <w:color w:val="auto"/>
              </w:rPr>
            </w:pPr>
            <w:r>
              <w:rPr>
                <w:rFonts w:ascii="Arial" w:cs="Arial" w:eastAsia="Arial" w:hAnsi="Arial"/>
                <w:sz w:val="18"/>
                <w:szCs w:val="18"/>
                <w:color w:val="0000FF"/>
              </w:rPr>
              <w:t>Risk Factors</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color w:val="auto"/>
              </w:rPr>
              <w:t>Item 1B</w:t>
            </w: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vMerge w:val="continue"/>
          </w:tcPr>
          <w:p>
            <w:pPr>
              <w:spacing w:after="0"/>
              <w:rPr>
                <w:sz w:val="21"/>
                <w:szCs w:val="21"/>
                <w:color w:val="auto"/>
              </w:rPr>
            </w:pPr>
          </w:p>
        </w:tc>
        <w:tc>
          <w:tcPr>
            <w:tcW w:w="2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Unresolved Staff Comments</w:t>
            </w:r>
          </w:p>
        </w:tc>
        <w:tc>
          <w:tcPr>
            <w:tcW w:w="662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1C</w:t>
            </w:r>
          </w:p>
        </w:tc>
        <w:tc>
          <w:tcPr>
            <w:tcW w:w="8880" w:type="dxa"/>
            <w:vAlign w:val="bottom"/>
            <w:gridSpan w:val="29"/>
          </w:tcPr>
          <w:p>
            <w:pPr>
              <w:spacing w:after="0"/>
              <w:rPr>
                <w:sz w:val="20"/>
                <w:szCs w:val="20"/>
                <w:color w:val="auto"/>
              </w:rPr>
            </w:pPr>
            <w:r>
              <w:rPr>
                <w:rFonts w:ascii="Arial" w:cs="Arial" w:eastAsia="Arial" w:hAnsi="Arial"/>
                <w:sz w:val="18"/>
                <w:szCs w:val="18"/>
                <w:color w:val="0000FF"/>
              </w:rPr>
              <w:t>Cybersecurity</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11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Properties</w:t>
            </w:r>
          </w:p>
        </w:tc>
        <w:tc>
          <w:tcPr>
            <w:tcW w:w="7720" w:type="dxa"/>
            <w:vAlign w:val="bottom"/>
            <w:gridSpan w:val="25"/>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vMerge w:val="continue"/>
          </w:tcPr>
          <w:p>
            <w:pPr>
              <w:spacing w:after="0"/>
              <w:rPr>
                <w:sz w:val="21"/>
                <w:szCs w:val="21"/>
                <w:color w:val="auto"/>
              </w:rPr>
            </w:pP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738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8880" w:type="dxa"/>
            <w:vAlign w:val="bottom"/>
            <w:gridSpan w:val="29"/>
          </w:tcPr>
          <w:p>
            <w:pPr>
              <w:spacing w:after="0"/>
              <w:rPr>
                <w:sz w:val="20"/>
                <w:szCs w:val="20"/>
                <w:color w:val="auto"/>
              </w:rPr>
            </w:pPr>
            <w:r>
              <w:rPr>
                <w:rFonts w:ascii="Arial" w:cs="Arial" w:eastAsia="Arial" w:hAnsi="Arial"/>
                <w:sz w:val="18"/>
                <w:szCs w:val="18"/>
                <w:color w:val="0000FF"/>
              </w:rPr>
              <w:t>Mine Safety Disclosures</w:t>
            </w:r>
          </w:p>
        </w:tc>
        <w:tc>
          <w:tcPr>
            <w:tcW w:w="0" w:type="dxa"/>
            <w:vAlign w:val="bottom"/>
          </w:tcPr>
          <w:p>
            <w:pPr>
              <w:spacing w:after="0"/>
              <w:rPr>
                <w:sz w:val="1"/>
                <w:szCs w:val="1"/>
                <w:color w:val="auto"/>
              </w:rPr>
            </w:pPr>
          </w:p>
        </w:tc>
      </w:tr>
      <w:tr>
        <w:trPr>
          <w:trHeight w:val="237"/>
        </w:trPr>
        <w:tc>
          <w:tcPr>
            <w:tcW w:w="96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7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gridSpan w:val="13"/>
          </w:tcPr>
          <w:p>
            <w:pPr>
              <w:jc w:val="center"/>
              <w:ind w:right="3940"/>
              <w:spacing w:after="0"/>
              <w:rPr>
                <w:sz w:val="20"/>
                <w:szCs w:val="20"/>
                <w:color w:val="auto"/>
              </w:rPr>
            </w:pPr>
            <w:r>
              <w:rPr>
                <w:rFonts w:ascii="Arial" w:cs="Arial" w:eastAsia="Arial" w:hAnsi="Arial"/>
                <w:sz w:val="18"/>
                <w:szCs w:val="18"/>
                <w:b w:val="1"/>
                <w:bCs w:val="1"/>
                <w:color w:val="0000FF"/>
                <w:w w:val="96"/>
              </w:rPr>
              <w:t>PART II</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vMerge w:val="continue"/>
          </w:tcPr>
          <w:p>
            <w:pPr>
              <w:spacing w:after="0"/>
              <w:rPr>
                <w:sz w:val="19"/>
                <w:szCs w:val="19"/>
                <w:color w:val="auto"/>
              </w:rPr>
            </w:pPr>
          </w:p>
        </w:tc>
        <w:tc>
          <w:tcPr>
            <w:tcW w:w="888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Reserved</w:t>
            </w:r>
          </w:p>
        </w:tc>
        <w:tc>
          <w:tcPr>
            <w:tcW w:w="8060" w:type="dxa"/>
            <w:vAlign w:val="bottom"/>
            <w:gridSpan w:val="2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8880" w:type="dxa"/>
            <w:vAlign w:val="bottom"/>
            <w:gridSpan w:val="2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7A</w:t>
            </w:r>
          </w:p>
        </w:tc>
        <w:tc>
          <w:tcPr>
            <w:tcW w:w="472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7"/>
          </w:tcPr>
          <w:p>
            <w:pPr>
              <w:spacing w:after="0"/>
              <w:rPr>
                <w:sz w:val="21"/>
                <w:szCs w:val="21"/>
                <w:color w:val="auto"/>
              </w:rPr>
            </w:pPr>
          </w:p>
        </w:tc>
        <w:tc>
          <w:tcPr>
            <w:tcW w:w="18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8880" w:type="dxa"/>
            <w:vAlign w:val="bottom"/>
            <w:gridSpan w:val="29"/>
          </w:tcPr>
          <w:p>
            <w:pPr>
              <w:spacing w:after="0"/>
              <w:rPr>
                <w:sz w:val="20"/>
                <w:szCs w:val="20"/>
                <w:color w:val="auto"/>
              </w:rPr>
            </w:pPr>
            <w:r>
              <w:rPr>
                <w:rFonts w:ascii="Arial" w:cs="Arial" w:eastAsia="Arial" w:hAnsi="Arial"/>
                <w:sz w:val="18"/>
                <w:szCs w:val="18"/>
                <w:color w:val="0000FF"/>
              </w:rPr>
              <w:t>Financial Statements and Supplementary Data</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color w:val="auto"/>
              </w:rPr>
              <w:t>Item 9</w:t>
            </w: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vMerge w:val="continue"/>
          </w:tcPr>
          <w:p>
            <w:pPr>
              <w:spacing w:after="0"/>
              <w:rPr>
                <w:sz w:val="21"/>
                <w:szCs w:val="21"/>
                <w:color w:val="auto"/>
              </w:rPr>
            </w:pPr>
          </w:p>
        </w:tc>
        <w:tc>
          <w:tcPr>
            <w:tcW w:w="714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7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9A</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688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9B</w:t>
            </w:r>
          </w:p>
        </w:tc>
        <w:tc>
          <w:tcPr>
            <w:tcW w:w="8880" w:type="dxa"/>
            <w:vAlign w:val="bottom"/>
            <w:gridSpan w:val="29"/>
          </w:tcPr>
          <w:p>
            <w:pPr>
              <w:spacing w:after="0"/>
              <w:rPr>
                <w:sz w:val="20"/>
                <w:szCs w:val="20"/>
                <w:color w:val="auto"/>
              </w:rPr>
            </w:pPr>
            <w:r>
              <w:rPr>
                <w:rFonts w:ascii="Arial" w:cs="Arial" w:eastAsia="Arial" w:hAnsi="Arial"/>
                <w:sz w:val="18"/>
                <w:szCs w:val="18"/>
                <w:color w:val="0000FF"/>
              </w:rPr>
              <w:t>Other Information</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color w:val="auto"/>
              </w:rPr>
              <w:t>Item 9C</w:t>
            </w: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vMerge w:val="continue"/>
          </w:tcPr>
          <w:p>
            <w:pPr>
              <w:spacing w:after="0"/>
              <w:rPr>
                <w:sz w:val="21"/>
                <w:szCs w:val="21"/>
                <w:color w:val="auto"/>
              </w:rPr>
            </w:pPr>
          </w:p>
        </w:tc>
        <w:tc>
          <w:tcPr>
            <w:tcW w:w="8880" w:type="dxa"/>
            <w:vAlign w:val="bottom"/>
            <w:gridSpan w:val="29"/>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0" w:type="dxa"/>
            <w:vAlign w:val="bottom"/>
          </w:tcPr>
          <w:p>
            <w:pPr>
              <w:spacing w:after="0"/>
              <w:rPr>
                <w:sz w:val="1"/>
                <w:szCs w:val="1"/>
                <w:color w:val="auto"/>
              </w:rPr>
            </w:pPr>
          </w:p>
        </w:tc>
      </w:tr>
      <w:tr>
        <w:trPr>
          <w:trHeight w:val="237"/>
        </w:trPr>
        <w:tc>
          <w:tcPr>
            <w:tcW w:w="960" w:type="dxa"/>
            <w:vAlign w:val="bottom"/>
            <w:vMerge w:val="restart"/>
          </w:tcPr>
          <w:p>
            <w:pPr>
              <w:spacing w:after="0"/>
              <w:rPr>
                <w:sz w:val="20"/>
                <w:szCs w:val="20"/>
                <w:color w:val="auto"/>
              </w:rPr>
            </w:pPr>
            <w:r>
              <w:rPr>
                <w:rFonts w:ascii="Arial" w:cs="Arial" w:eastAsia="Arial" w:hAnsi="Arial"/>
                <w:sz w:val="18"/>
                <w:szCs w:val="18"/>
                <w:color w:val="auto"/>
              </w:rPr>
              <w:t>Item 10</w:t>
            </w:r>
          </w:p>
        </w:tc>
        <w:tc>
          <w:tcPr>
            <w:tcW w:w="7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100" w:type="dxa"/>
            <w:vAlign w:val="bottom"/>
            <w:tcBorders>
              <w:top w:val="single" w:sz="8" w:color="0000FF"/>
            </w:tcBorders>
            <w:gridSpan w:val="9"/>
          </w:tcPr>
          <w:p>
            <w:pPr>
              <w:jc w:val="center"/>
              <w:ind w:right="440"/>
              <w:spacing w:after="0"/>
              <w:rPr>
                <w:sz w:val="20"/>
                <w:szCs w:val="20"/>
                <w:color w:val="auto"/>
              </w:rPr>
            </w:pPr>
            <w:r>
              <w:rPr>
                <w:rFonts w:ascii="Arial" w:cs="Arial" w:eastAsia="Arial" w:hAnsi="Arial"/>
                <w:sz w:val="18"/>
                <w:szCs w:val="18"/>
                <w:b w:val="1"/>
                <w:bCs w:val="1"/>
                <w:color w:val="0000FF"/>
                <w:w w:val="95"/>
              </w:rPr>
              <w:t>PART III</w:t>
            </w:r>
          </w:p>
        </w:tc>
        <w:tc>
          <w:tcPr>
            <w:tcW w:w="348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vMerge w:val="continue"/>
          </w:tcPr>
          <w:p>
            <w:pPr>
              <w:spacing w:after="0"/>
              <w:rPr>
                <w:sz w:val="19"/>
                <w:szCs w:val="19"/>
                <w:color w:val="auto"/>
              </w:rPr>
            </w:pPr>
          </w:p>
        </w:tc>
        <w:tc>
          <w:tcPr>
            <w:tcW w:w="8880" w:type="dxa"/>
            <w:vAlign w:val="bottom"/>
            <w:gridSpan w:val="29"/>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11</w:t>
            </w:r>
          </w:p>
        </w:tc>
        <w:tc>
          <w:tcPr>
            <w:tcW w:w="200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9"/>
              </w:rPr>
              <w:t>Executive Compensation</w:t>
            </w:r>
          </w:p>
        </w:tc>
        <w:tc>
          <w:tcPr>
            <w:tcW w:w="2500" w:type="dxa"/>
            <w:vAlign w:val="bottom"/>
            <w:tcBorders>
              <w:top w:val="single" w:sz="8" w:color="0000FF"/>
            </w:tcBorders>
            <w:gridSpan w:val="9"/>
          </w:tcPr>
          <w:p>
            <w:pPr>
              <w:spacing w:after="0"/>
              <w:rPr>
                <w:sz w:val="21"/>
                <w:szCs w:val="21"/>
                <w:color w:val="auto"/>
              </w:rPr>
            </w:pPr>
          </w:p>
        </w:tc>
        <w:tc>
          <w:tcPr>
            <w:tcW w:w="438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13</w:t>
            </w:r>
          </w:p>
        </w:tc>
        <w:tc>
          <w:tcPr>
            <w:tcW w:w="608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28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14</w:t>
            </w:r>
          </w:p>
        </w:tc>
        <w:tc>
          <w:tcPr>
            <w:tcW w:w="8880" w:type="dxa"/>
            <w:vAlign w:val="bottom"/>
            <w:gridSpan w:val="29"/>
          </w:tcPr>
          <w:p>
            <w:pPr>
              <w:spacing w:after="0"/>
              <w:rPr>
                <w:sz w:val="20"/>
                <w:szCs w:val="20"/>
                <w:color w:val="auto"/>
              </w:rPr>
            </w:pPr>
            <w:r>
              <w:rPr>
                <w:rFonts w:ascii="Arial" w:cs="Arial" w:eastAsia="Arial" w:hAnsi="Arial"/>
                <w:sz w:val="18"/>
                <w:szCs w:val="18"/>
                <w:color w:val="0000FF"/>
              </w:rPr>
              <w:t>Principal Accountant Fees and Services</w:t>
            </w:r>
          </w:p>
        </w:tc>
        <w:tc>
          <w:tcPr>
            <w:tcW w:w="0" w:type="dxa"/>
            <w:vAlign w:val="bottom"/>
          </w:tcPr>
          <w:p>
            <w:pPr>
              <w:spacing w:after="0"/>
              <w:rPr>
                <w:sz w:val="1"/>
                <w:szCs w:val="1"/>
                <w:color w:val="auto"/>
              </w:rPr>
            </w:pPr>
          </w:p>
        </w:tc>
      </w:tr>
      <w:tr>
        <w:trPr>
          <w:trHeight w:val="236"/>
        </w:trPr>
        <w:tc>
          <w:tcPr>
            <w:tcW w:w="960" w:type="dxa"/>
            <w:vAlign w:val="bottom"/>
            <w:vMerge w:val="restart"/>
          </w:tcPr>
          <w:p>
            <w:pPr>
              <w:spacing w:after="0"/>
              <w:rPr>
                <w:sz w:val="20"/>
                <w:szCs w:val="20"/>
                <w:color w:val="auto"/>
              </w:rPr>
            </w:pPr>
            <w:r>
              <w:rPr>
                <w:rFonts w:ascii="Arial" w:cs="Arial" w:eastAsia="Arial" w:hAnsi="Arial"/>
                <w:sz w:val="18"/>
                <w:szCs w:val="18"/>
                <w:color w:val="auto"/>
              </w:rPr>
              <w:t>Item 15</w:t>
            </w:r>
          </w:p>
        </w:tc>
        <w:tc>
          <w:tcPr>
            <w:tcW w:w="7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Borders>
              <w:bottom w:val="single" w:sz="8" w:color="0000FF"/>
            </w:tcBorders>
            <w:gridSpan w:val="9"/>
          </w:tcPr>
          <w:p>
            <w:pPr>
              <w:jc w:val="center"/>
              <w:spacing w:after="0"/>
              <w:rPr>
                <w:sz w:val="20"/>
                <w:szCs w:val="20"/>
                <w:color w:val="auto"/>
              </w:rPr>
            </w:pPr>
            <w:r>
              <w:rPr>
                <w:rFonts w:ascii="Arial" w:cs="Arial" w:eastAsia="Arial" w:hAnsi="Arial"/>
                <w:sz w:val="18"/>
                <w:szCs w:val="18"/>
                <w:b w:val="1"/>
                <w:bCs w:val="1"/>
                <w:color w:val="0000FF"/>
                <w:w w:val="98"/>
              </w:rPr>
              <w:t>PART IV</w:t>
            </w:r>
          </w:p>
        </w:tc>
        <w:tc>
          <w:tcPr>
            <w:tcW w:w="39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0" w:type="dxa"/>
            <w:vAlign w:val="bottom"/>
            <w:vMerge w:val="continue"/>
          </w:tcPr>
          <w:p>
            <w:pPr>
              <w:spacing w:after="0"/>
              <w:rPr>
                <w:sz w:val="19"/>
                <w:szCs w:val="19"/>
                <w:color w:val="auto"/>
              </w:rPr>
            </w:pPr>
          </w:p>
        </w:tc>
        <w:tc>
          <w:tcPr>
            <w:tcW w:w="35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536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Item 16</w:t>
            </w:r>
          </w:p>
        </w:tc>
        <w:tc>
          <w:tcPr>
            <w:tcW w:w="16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Form 10-K Summary</w:t>
            </w:r>
          </w:p>
        </w:tc>
        <w:tc>
          <w:tcPr>
            <w:tcW w:w="720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8880" w:type="dxa"/>
            <w:vAlign w:val="bottom"/>
            <w:gridSpan w:val="29"/>
          </w:tcPr>
          <w:p>
            <w:pPr>
              <w:spacing w:after="0"/>
              <w:rPr>
                <w:sz w:val="20"/>
                <w:szCs w:val="20"/>
                <w:color w:val="auto"/>
              </w:rPr>
            </w:pPr>
            <w:r>
              <w:rPr>
                <w:rFonts w:ascii="Arial" w:cs="Arial" w:eastAsia="Arial" w:hAnsi="Arial"/>
                <w:sz w:val="18"/>
                <w:szCs w:val="18"/>
                <w:color w:val="0000FF"/>
              </w:rPr>
              <w:t>SIGNATURES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Page</w:t>
      </w:r>
    </w:p>
    <w:p>
      <w:pPr>
        <w:jc w:val="center"/>
        <w:ind w:right="14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10795</wp:posOffset>
            </wp:positionV>
            <wp:extent cx="5829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21</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70</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71</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75</w:t>
      </w:r>
    </w:p>
    <w:p>
      <w:pPr>
        <w:sectPr>
          <w:pgSz w:w="11900" w:h="16838" w:orient="portrait"/>
          <w:cols w:equalWidth="0" w:num="2">
            <w:col w:w="9860" w:space="580"/>
            <w:col w:w="76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information set forth herein includes statements that express our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include statements regarding our intentions, beliefs or current expectations concerning, among other things, our results of operations, financial condition, liquidity, prospects, growth, competition, strategies and the particular markets in which we operate. By their nature, forward-looking statements involve risks and uncertainties because they relate to events and depend on circumstances that may or may not occur in the future. We believe that these risks and uncertainties include, but are not limited to, those described in Item 1A “Risk Factors.” Those factors should not be construed as exhaustive and should be read with the other cautionary statements herein. 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particular markets in which we operate may differ materially from those made in or suggested by the forward-looking statements contained herein. In addition, even if our results of operations, financial condition and liquidity and the development of the particular markets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w:t>
      </w:r>
    </w:p>
    <w:p>
      <w:pPr>
        <w:spacing w:after="0" w:line="18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Gibraltar Industries, Inc. (the "Company") is a leading manufacturer and provider of products and services for the renewable energy, residential, agtech and infrastructure markets. The Company's mission is to make life better for people and the planet, fueled by advancing the disciplines of engineering, science, and technology. The Company is innovating to reshape critical markets in sustainable power, comfortable and efficient living, and productive growing throughout North America. Furthermore, the Company strives to create compounding and sustainable value for its stockholders and stakeholders with strong and relevant leadership positions in higher growth, profitable end markets focused on addressing some of the world's most challenging opportunities. The foundation of the Company's strategy is built on three core pillars: Business System, Portfolio Management, and Organization Development.</w:t>
      </w:r>
    </w:p>
    <w:p>
      <w:pPr>
        <w:spacing w:after="0" w:line="183" w:lineRule="exact"/>
        <w:rPr>
          <w:sz w:val="20"/>
          <w:szCs w:val="20"/>
          <w:color w:val="auto"/>
        </w:rPr>
      </w:pPr>
    </w:p>
    <w:p>
      <w:pPr>
        <w:jc w:val="both"/>
        <w:ind w:left="660" w:hanging="328"/>
        <w:spacing w:after="0" w:line="25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System reflects the necessary systems, processes, and management tools required to deliver consistent and continuous performance improvement, every day. The Company's business system is a critical enabler to grow, scale, and deliver its plans. The Company's focus is on deploying effective tools to drive growth, improve operating performance, and develop the organization utilizing 80/20 and lean quote-to-cash initiatives along with digital systems for speed, agility and responsiveness. The Business System pillar challenges existing operating paradigms, drives day-to-day performance, forces prioritization of resources, tests the Company's business models, and drives new product and services innovation.</w:t>
      </w:r>
    </w:p>
    <w:p>
      <w:pPr>
        <w:spacing w:after="0" w:line="182" w:lineRule="exact"/>
        <w:rPr>
          <w:rFonts w:ascii="Arial" w:cs="Arial" w:eastAsia="Arial" w:hAnsi="Arial"/>
          <w:sz w:val="18"/>
          <w:szCs w:val="18"/>
          <w:color w:val="auto"/>
        </w:rPr>
      </w:pPr>
    </w:p>
    <w:p>
      <w:pPr>
        <w:jc w:val="both"/>
        <w:ind w:left="660" w:hanging="328"/>
        <w:spacing w:after="0" w:line="259"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Portfolio Management is focused on optimizing the Company’s business portfolio in higher growth markets with leadership positions while ensuring its financial capital and human resources are effectively and efficiently deployed to deliver sustainable, profitable growth while increasing its relevance with customers and shaping its markets. In 2023, the Company acquired the assets of a privately held Utah-based company in the Residential segment and sold its Japan-based solar racking business within the Renewables segment to help achieve these objectives.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hanging="328"/>
        <w:spacing w:after="0" w:line="257"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Organization Development drives the Company’s continuous focus on ensuring it has the right design and structure to scale the organization in order to execute the Company’s plans and meet commitments. The Company aspires to make its place of work the "Best Place to Work", where focus is on creating an environment for our people to have the best opportunity for success, continue to develop, grow and learn. At core of this pillar is the Company’s development process focused on helping employees reach their potential, improve performance, develop career roadmaps, identify ongoing education requirements, and respective succession plans. The Company believes doing so helps it attract and retain the best people to execute its business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Social Responsibility is a key consideration in everything, from the products the Company makes and the suppliers the Company engages with, to the Company's employee policies, business strategies, and future plans. The Company is committed to making a difference in the lives of the people the Company's business touches, and to creating meaningful impact every day through the Company's work and relationships.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sense of responsibility to people and the planet is woven into the core values that define the Company's purpose and drive the Company's culture. These values include:</w:t>
      </w:r>
    </w:p>
    <w:p>
      <w:pPr>
        <w:spacing w:after="0" w:line="4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it better - The Company challenges itself and its way of thinking every day to exceed the needs of the Company's customers.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it right - The Company cares about doing the right thing for each other, customers, and communities by holding the Company to the highest standards of ethics and safety.</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it together - The Company works collaboratively with customers and each other - teamwork sets the Company apart. The Company works to create a culture that is inclusive of different perspectives and experiences.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an impact - The Company is here to make a difference. The Company drives change and delivers meaningful value to customers, investors, and community.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efforts are focused on delivering positive impact in three key areas:</w:t>
      </w:r>
    </w:p>
    <w:p>
      <w:pPr>
        <w:spacing w:after="0" w:line="117" w:lineRule="exact"/>
        <w:rPr>
          <w:sz w:val="20"/>
          <w:szCs w:val="20"/>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People: The safety, well-being, and success of our people is our top priority. We are dedicated to developing their potential as professionals and future leaders, drawing on the unique abilities of each team member to build a rich, inclusive culture of difference-makers.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Communities: Sharing our success with the communities where we live and work is vital to our purpose. By supporting local nonprofits and institutions as investors and volunteers, we help build resilience and strengthen the bonds that will help our communities thrive.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World: Our work is firmly rooted in making life better for people and the planet; we innovate in the service of possibility, acting responsibly to create positive, lasting change in our world. We promote sustainability across our value chain, developing products and services for our customers that reduce environmental impact and improve quality of life.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businesses reflect the Company's purpose, values and desire to make a positive impact on the world. Since 2014, the Company has been transforming itself to focus on solving some of humanity's most challenging opportunities - from harnessing energy and growing food more sustainably to living and working with greater ease, efficiency, and comfort. Transforming the Company positions it to play a significant role in sustainable development issues, building partnerships with key players that help advance critical technologies, strengthening the Renewables, Residential, Agtech and Infrastructure businesses, and enabling the Company to better respond to humanity's evolving needs.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serves customers primarily in North America including renewable energy (solar) developers, home improvement retailers, wholesalers, distributors, institutional and commercial growers of fruits, vegetables, flowers and other plants, and contractors. At December 31, 2023, the Company operated thirty facilities, which were comprised of twenty-three manufacturing facilities, one distribution center, and six offices, and were located within sixteen states, Canada and China. The Company's operational infrastructure provides the necessary scale to support regional and national customers in each of its markets.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and reports its results in the following four reporting segments:</w:t>
      </w:r>
    </w:p>
    <w:p>
      <w:pPr>
        <w:spacing w:after="0" w:line="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Renewables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Residential</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Agtech</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Infrastructure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primary products and, where applicable, services, applications, and end markets for each segment:</w:t>
      </w:r>
    </w:p>
    <w:p>
      <w:pPr>
        <w:sectPr>
          <w:pgSz w:w="11900" w:h="16838" w:orient="portrait"/>
          <w:cols w:equalWidth="0" w:num="1">
            <w:col w:w="11160"/>
          </w:cols>
          <w:pgMar w:left="320" w:top="121" w:right="41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Renewables Segment</w:t>
      </w:r>
    </w:p>
    <w:p>
      <w:pPr>
        <w:spacing w:after="0" w:line="277"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Products and Services</w:t>
      </w:r>
    </w:p>
    <w:p>
      <w:pPr>
        <w:spacing w:after="0" w:line="63" w:lineRule="exact"/>
        <w:rPr>
          <w:sz w:val="20"/>
          <w:szCs w:val="20"/>
          <w:color w:val="auto"/>
        </w:rPr>
      </w:pPr>
    </w:p>
    <w:p>
      <w:pPr>
        <w:jc w:val="both"/>
        <w:ind w:left="20" w:right="300"/>
        <w:spacing w:after="0" w:line="268" w:lineRule="auto"/>
        <w:rPr>
          <w:sz w:val="20"/>
          <w:szCs w:val="20"/>
          <w:color w:val="auto"/>
        </w:rPr>
      </w:pPr>
      <w:r>
        <w:rPr>
          <w:rFonts w:ascii="Arial" w:cs="Arial" w:eastAsia="Arial" w:hAnsi="Arial"/>
          <w:sz w:val="18"/>
          <w:szCs w:val="18"/>
          <w:color w:val="auto"/>
        </w:rPr>
        <w:t>Design, engineering, manufacturing and installation of solar racking and electrical balance of systems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Applications</w:t>
            </w:r>
          </w:p>
        </w:tc>
        <w:tc>
          <w:tcPr>
            <w:tcW w:w="14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End Market</w:t>
            </w: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2"/>
        </w:trPr>
        <w:tc>
          <w:tcPr>
            <w:tcW w:w="3420" w:type="dxa"/>
            <w:vAlign w:val="bottom"/>
            <w:gridSpan w:val="3"/>
          </w:tcPr>
          <w:p>
            <w:pPr>
              <w:spacing w:after="0"/>
              <w:rPr>
                <w:sz w:val="20"/>
                <w:szCs w:val="20"/>
                <w:color w:val="auto"/>
              </w:rPr>
            </w:pPr>
            <w:r>
              <w:rPr>
                <w:rFonts w:ascii="Arial" w:cs="Arial" w:eastAsia="Arial" w:hAnsi="Arial"/>
                <w:sz w:val="18"/>
                <w:szCs w:val="18"/>
                <w:color w:val="auto"/>
              </w:rPr>
              <w:t>Commercial and distributed generation</w:t>
            </w:r>
          </w:p>
        </w:tc>
        <w:tc>
          <w:tcPr>
            <w:tcW w:w="3240" w:type="dxa"/>
            <w:vAlign w:val="bottom"/>
            <w:gridSpan w:val="3"/>
          </w:tcPr>
          <w:p>
            <w:pPr>
              <w:ind w:left="340"/>
              <w:spacing w:after="0"/>
              <w:rPr>
                <w:sz w:val="20"/>
                <w:szCs w:val="20"/>
                <w:color w:val="auto"/>
              </w:rPr>
            </w:pPr>
            <w:r>
              <w:rPr>
                <w:rFonts w:ascii="Arial" w:cs="Arial" w:eastAsia="Arial" w:hAnsi="Arial"/>
                <w:sz w:val="18"/>
                <w:szCs w:val="18"/>
                <w:color w:val="auto"/>
                <w:w w:val="98"/>
              </w:rPr>
              <w:t>Solar developers; power companies;</w:t>
            </w: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scale solar installations on any type of</w:t>
            </w:r>
          </w:p>
        </w:tc>
        <w:tc>
          <w:tcPr>
            <w:tcW w:w="3240" w:type="dxa"/>
            <w:vAlign w:val="bottom"/>
            <w:gridSpan w:val="3"/>
          </w:tcPr>
          <w:p>
            <w:pPr>
              <w:ind w:left="340"/>
              <w:spacing w:after="0"/>
              <w:rPr>
                <w:sz w:val="20"/>
                <w:szCs w:val="20"/>
                <w:color w:val="auto"/>
              </w:rPr>
            </w:pPr>
            <w:r>
              <w:rPr>
                <w:rFonts w:ascii="Arial" w:cs="Arial" w:eastAsia="Arial" w:hAnsi="Arial"/>
                <w:sz w:val="18"/>
                <w:szCs w:val="18"/>
                <w:color w:val="auto"/>
              </w:rPr>
              <w:t>solar energy EPC contractors</w:t>
            </w:r>
          </w:p>
        </w:tc>
      </w:tr>
      <w:tr>
        <w:trPr>
          <w:trHeight w:val="239"/>
        </w:trPr>
        <w:tc>
          <w:tcPr>
            <w:tcW w:w="3420" w:type="dxa"/>
            <w:vAlign w:val="bottom"/>
            <w:gridSpan w:val="3"/>
          </w:tcPr>
          <w:p>
            <w:pPr>
              <w:spacing w:after="0"/>
              <w:rPr>
                <w:sz w:val="20"/>
                <w:szCs w:val="20"/>
                <w:color w:val="auto"/>
              </w:rPr>
            </w:pPr>
            <w:r>
              <w:rPr>
                <w:rFonts w:ascii="Arial" w:cs="Arial" w:eastAsia="Arial" w:hAnsi="Arial"/>
                <w:sz w:val="18"/>
                <w:szCs w:val="18"/>
                <w:color w:val="auto"/>
              </w:rPr>
              <w:t>terrain</w:t>
            </w: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22" w:lineRule="exact"/>
        <w:rPr>
          <w:sz w:val="20"/>
          <w:szCs w:val="20"/>
          <w:color w:val="auto"/>
        </w:rPr>
      </w:pPr>
    </w:p>
    <w:p>
      <w:pPr>
        <w:sectPr>
          <w:pgSz w:w="11900" w:h="16838" w:orient="portrait"/>
          <w:cols w:equalWidth="0" w:num="2">
            <w:col w:w="3560" w:space="720"/>
            <w:col w:w="6880"/>
          </w:cols>
          <w:pgMar w:left="320" w:top="121" w:right="41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99"/>
              </w:rPr>
              <w:t>Residential Segment</w:t>
            </w:r>
          </w:p>
        </w:tc>
        <w:tc>
          <w:tcPr>
            <w:tcW w:w="216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560" w:type="dxa"/>
            <w:vAlign w:val="bottom"/>
          </w:tcPr>
          <w:p>
            <w:pPr>
              <w:spacing w:after="0"/>
              <w:rPr>
                <w:sz w:val="24"/>
                <w:szCs w:val="24"/>
                <w:color w:val="auto"/>
              </w:rPr>
            </w:pPr>
          </w:p>
        </w:tc>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Products</w:t>
            </w:r>
          </w:p>
        </w:tc>
        <w:tc>
          <w:tcPr>
            <w:tcW w:w="13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Applications</w:t>
            </w:r>
          </w:p>
        </w:tc>
        <w:tc>
          <w:tcPr>
            <w:tcW w:w="156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End Market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940" w:type="dxa"/>
            <w:vAlign w:val="bottom"/>
            <w:gridSpan w:val="4"/>
          </w:tcPr>
          <w:p>
            <w:pPr>
              <w:ind w:left="20"/>
              <w:spacing w:after="0"/>
              <w:rPr>
                <w:sz w:val="20"/>
                <w:szCs w:val="20"/>
                <w:color w:val="auto"/>
              </w:rPr>
            </w:pPr>
            <w:r>
              <w:rPr>
                <w:rFonts w:ascii="Arial" w:cs="Arial" w:eastAsia="Arial" w:hAnsi="Arial"/>
                <w:sz w:val="18"/>
                <w:szCs w:val="18"/>
                <w:color w:val="auto"/>
              </w:rPr>
              <w:t>Roof and foundation ventilation products</w:t>
            </w: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Ventilation and whole-house air flow</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management</w:t>
            </w:r>
          </w:p>
        </w:tc>
        <w:tc>
          <w:tcPr>
            <w:tcW w:w="1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3940" w:type="dxa"/>
            <w:vAlign w:val="bottom"/>
            <w:gridSpan w:val="4"/>
          </w:tcPr>
          <w:p>
            <w:pPr>
              <w:ind w:left="20"/>
              <w:spacing w:after="0"/>
              <w:rPr>
                <w:sz w:val="20"/>
                <w:szCs w:val="20"/>
                <w:color w:val="auto"/>
              </w:rPr>
            </w:pPr>
            <w:r>
              <w:rPr>
                <w:rFonts w:ascii="Arial" w:cs="Arial" w:eastAsia="Arial" w:hAnsi="Arial"/>
                <w:sz w:val="18"/>
                <w:szCs w:val="18"/>
                <w:color w:val="auto"/>
              </w:rPr>
              <w:t>Single point and centralized mail systems and</w:t>
            </w: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Secure storage for mail and package</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40" w:type="dxa"/>
            <w:vAlign w:val="bottom"/>
            <w:gridSpan w:val="4"/>
          </w:tcPr>
          <w:p>
            <w:pPr>
              <w:ind w:left="20"/>
              <w:spacing w:after="0"/>
              <w:rPr>
                <w:sz w:val="20"/>
                <w:szCs w:val="20"/>
                <w:color w:val="auto"/>
              </w:rPr>
            </w:pPr>
            <w:r>
              <w:rPr>
                <w:rFonts w:ascii="Arial" w:cs="Arial" w:eastAsia="Arial" w:hAnsi="Arial"/>
                <w:sz w:val="18"/>
                <w:szCs w:val="18"/>
                <w:color w:val="auto"/>
              </w:rPr>
              <w:t>electronic package solutions</w:t>
            </w:r>
          </w:p>
        </w:tc>
        <w:tc>
          <w:tcPr>
            <w:tcW w:w="3660" w:type="dxa"/>
            <w:vAlign w:val="bottom"/>
            <w:gridSpan w:val="3"/>
          </w:tcPr>
          <w:p>
            <w:pPr>
              <w:ind w:left="280"/>
              <w:spacing w:after="0"/>
              <w:rPr>
                <w:sz w:val="20"/>
                <w:szCs w:val="20"/>
                <w:color w:val="auto"/>
              </w:rPr>
            </w:pPr>
            <w:r>
              <w:rPr>
                <w:rFonts w:ascii="Arial" w:cs="Arial" w:eastAsia="Arial" w:hAnsi="Arial"/>
                <w:sz w:val="18"/>
                <w:szCs w:val="18"/>
                <w:color w:val="auto"/>
              </w:rPr>
              <w:t>deliveries</w:t>
            </w:r>
          </w:p>
        </w:tc>
        <w:tc>
          <w:tcPr>
            <w:tcW w:w="3140" w:type="dxa"/>
            <w:vAlign w:val="bottom"/>
            <w:gridSpan w:val="3"/>
            <w:vMerge w:val="restart"/>
          </w:tcPr>
          <w:p>
            <w:pPr>
              <w:ind w:left="460"/>
              <w:spacing w:after="0"/>
              <w:rPr>
                <w:sz w:val="20"/>
                <w:szCs w:val="20"/>
                <w:color w:val="auto"/>
              </w:rPr>
            </w:pPr>
            <w:r>
              <w:rPr>
                <w:rFonts w:ascii="Arial" w:cs="Arial" w:eastAsia="Arial" w:hAnsi="Arial"/>
                <w:sz w:val="18"/>
                <w:szCs w:val="18"/>
                <w:color w:val="auto"/>
                <w:w w:val="98"/>
              </w:rPr>
              <w:t>Residential: new construction and</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gridSpan w:val="3"/>
          </w:tcPr>
          <w:p>
            <w:pPr>
              <w:ind w:left="460"/>
              <w:spacing w:after="0"/>
              <w:rPr>
                <w:sz w:val="20"/>
                <w:szCs w:val="20"/>
                <w:color w:val="auto"/>
              </w:rPr>
            </w:pPr>
            <w:r>
              <w:rPr>
                <w:rFonts w:ascii="Arial" w:cs="Arial" w:eastAsia="Arial" w:hAnsi="Arial"/>
                <w:sz w:val="18"/>
                <w:szCs w:val="18"/>
                <w:color w:val="auto"/>
              </w:rPr>
              <w:t>repair and remodeling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-941705</wp:posOffset>
            </wp:positionV>
            <wp:extent cx="257175" cy="1560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 cy="156019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Retractable awnings and gutter guards</w:t>
      </w:r>
    </w:p>
    <w:p>
      <w:pPr>
        <w:spacing w:after="0" w:line="200" w:lineRule="exact"/>
        <w:rPr>
          <w:sz w:val="20"/>
          <w:szCs w:val="20"/>
          <w:color w:val="auto"/>
        </w:rPr>
      </w:pPr>
    </w:p>
    <w:p>
      <w:pPr>
        <w:spacing w:after="0" w:line="223" w:lineRule="exact"/>
        <w:rPr>
          <w:sz w:val="20"/>
          <w:szCs w:val="20"/>
          <w:color w:val="auto"/>
        </w:rPr>
      </w:pPr>
    </w:p>
    <w:p>
      <w:pPr>
        <w:ind w:left="20" w:right="380"/>
        <w:spacing w:after="0" w:line="287" w:lineRule="auto"/>
        <w:rPr>
          <w:sz w:val="20"/>
          <w:szCs w:val="20"/>
          <w:color w:val="auto"/>
        </w:rPr>
      </w:pPr>
      <w:r>
        <w:rPr>
          <w:rFonts w:ascii="Arial" w:cs="Arial" w:eastAsia="Arial" w:hAnsi="Arial"/>
          <w:sz w:val="18"/>
          <w:szCs w:val="18"/>
          <w:color w:val="auto"/>
        </w:rPr>
        <w:t>Trims and flashings, metal roofing, rain dispersion, other accessories</w:t>
      </w:r>
    </w:p>
    <w:p>
      <w:pPr>
        <w:spacing w:after="0" w:line="20" w:lineRule="exact"/>
        <w:rPr>
          <w:sz w:val="20"/>
          <w:szCs w:val="20"/>
          <w:color w:val="auto"/>
        </w:rPr>
      </w:pPr>
      <w:r>
        <w:rPr>
          <w:sz w:val="20"/>
          <w:szCs w:val="20"/>
          <w:color w:val="auto"/>
        </w:rPr>
        <w:br w:type="column"/>
      </w:r>
    </w:p>
    <w:p>
      <w:pPr>
        <w:ind w:right="4460"/>
        <w:spacing w:after="0" w:line="266" w:lineRule="auto"/>
        <w:rPr>
          <w:sz w:val="20"/>
          <w:szCs w:val="20"/>
          <w:color w:val="auto"/>
        </w:rPr>
      </w:pPr>
      <w:r>
        <w:rPr>
          <w:rFonts w:ascii="Arial" w:cs="Arial" w:eastAsia="Arial" w:hAnsi="Arial"/>
          <w:sz w:val="18"/>
          <w:szCs w:val="18"/>
          <w:color w:val="auto"/>
        </w:rPr>
        <w:t>Sun and wind protection; gutter protection</w:t>
      </w:r>
    </w:p>
    <w:p>
      <w:pPr>
        <w:spacing w:after="0" w:line="171" w:lineRule="exact"/>
        <w:rPr>
          <w:sz w:val="20"/>
          <w:szCs w:val="20"/>
          <w:color w:val="auto"/>
        </w:rPr>
      </w:pPr>
    </w:p>
    <w:p>
      <w:pPr>
        <w:ind w:right="3820"/>
        <w:spacing w:after="0" w:line="287" w:lineRule="auto"/>
        <w:rPr>
          <w:sz w:val="20"/>
          <w:szCs w:val="20"/>
          <w:color w:val="auto"/>
        </w:rPr>
      </w:pPr>
      <w:r>
        <w:rPr>
          <w:rFonts w:ascii="Arial" w:cs="Arial" w:eastAsia="Arial" w:hAnsi="Arial"/>
          <w:sz w:val="18"/>
          <w:szCs w:val="18"/>
          <w:color w:val="auto"/>
        </w:rPr>
        <w:t>Protection from water and other natural elements - roof integrity</w:t>
      </w:r>
    </w:p>
    <w:p>
      <w:pPr>
        <w:spacing w:after="0" w:line="200" w:lineRule="exact"/>
        <w:rPr>
          <w:sz w:val="20"/>
          <w:szCs w:val="20"/>
          <w:color w:val="auto"/>
        </w:rPr>
      </w:pPr>
    </w:p>
    <w:p>
      <w:pPr>
        <w:sectPr>
          <w:pgSz w:w="11900" w:h="16838" w:orient="portrait"/>
          <w:cols w:equalWidth="0" w:num="2">
            <w:col w:w="3500" w:space="720"/>
            <w:col w:w="6940"/>
          </w:cols>
          <w:pgMar w:left="320" w:top="121" w:right="41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Agtech Segment</w:t>
      </w:r>
    </w:p>
    <w:p>
      <w:pPr>
        <w:spacing w:after="0" w:line="277" w:lineRule="exact"/>
        <w:rPr>
          <w:sz w:val="20"/>
          <w:szCs w:val="20"/>
          <w:color w:val="auto"/>
        </w:rPr>
      </w:pPr>
    </w:p>
    <w:p>
      <w:pPr>
        <w:ind w:left="980"/>
        <w:spacing w:after="0"/>
        <w:tabs>
          <w:tab w:leader="none" w:pos="5240" w:val="left"/>
          <w:tab w:leader="none" w:pos="8960" w:val="left"/>
        </w:tabs>
        <w:rPr>
          <w:sz w:val="20"/>
          <w:szCs w:val="20"/>
          <w:color w:val="auto"/>
        </w:rPr>
      </w:pPr>
      <w:r>
        <w:rPr>
          <w:rFonts w:ascii="Arial" w:cs="Arial" w:eastAsia="Arial" w:hAnsi="Arial"/>
          <w:sz w:val="18"/>
          <w:szCs w:val="18"/>
          <w:b w:val="1"/>
          <w:bCs w:val="1"/>
          <w:u w:val="single" w:color="auto"/>
          <w:color w:val="auto"/>
        </w:rPr>
        <w:t>Products and Services</w:t>
      </w:r>
      <w:r>
        <w:rPr>
          <w:sz w:val="20"/>
          <w:szCs w:val="20"/>
          <w:color w:val="auto"/>
        </w:rPr>
        <w:tab/>
      </w:r>
      <w:r>
        <w:rPr>
          <w:rFonts w:ascii="Arial" w:cs="Arial" w:eastAsia="Arial" w:hAnsi="Arial"/>
          <w:sz w:val="18"/>
          <w:szCs w:val="18"/>
          <w:b w:val="1"/>
          <w:bCs w:val="1"/>
          <w:u w:val="single" w:color="auto"/>
          <w:color w:val="auto"/>
        </w:rPr>
        <w:t>Applications</w:t>
      </w:r>
      <w:r>
        <w:rPr>
          <w:sz w:val="20"/>
          <w:szCs w:val="20"/>
          <w:color w:val="auto"/>
        </w:rPr>
        <w:tab/>
      </w:r>
      <w:r>
        <w:rPr>
          <w:rFonts w:ascii="Arial" w:cs="Arial" w:eastAsia="Arial" w:hAnsi="Arial"/>
          <w:sz w:val="17"/>
          <w:szCs w:val="17"/>
          <w:b w:val="1"/>
          <w:bCs w:val="1"/>
          <w:u w:val="single" w:color="auto"/>
          <w:color w:val="auto"/>
        </w:rPr>
        <w:t>End Market</w:t>
      </w:r>
    </w:p>
    <w:p>
      <w:pPr>
        <w:sectPr>
          <w:pgSz w:w="11900" w:h="16838" w:orient="portrait"/>
          <w:cols w:equalWidth="0" w:num="1">
            <w:col w:w="11160"/>
          </w:cols>
          <w:pgMar w:left="320" w:top="121" w:right="419" w:bottom="1440" w:gutter="0" w:footer="0" w:header="0"/>
          <w:type w:val="continuous"/>
        </w:sectPr>
      </w:pPr>
    </w:p>
    <w:p>
      <w:pPr>
        <w:spacing w:after="0" w:line="63" w:lineRule="exact"/>
        <w:rPr>
          <w:sz w:val="20"/>
          <w:szCs w:val="20"/>
          <w:color w:val="auto"/>
        </w:rPr>
      </w:pPr>
    </w:p>
    <w:p>
      <w:pPr>
        <w:ind w:left="20"/>
        <w:spacing w:after="0"/>
        <w:tabs>
          <w:tab w:leader="none" w:pos="4200" w:val="left"/>
        </w:tabs>
        <w:rPr>
          <w:sz w:val="20"/>
          <w:szCs w:val="20"/>
          <w:color w:val="auto"/>
        </w:rPr>
      </w:pPr>
      <w:r>
        <w:rPr>
          <w:rFonts w:ascii="Arial" w:cs="Arial" w:eastAsia="Arial" w:hAnsi="Arial"/>
          <w:sz w:val="18"/>
          <w:szCs w:val="18"/>
          <w:color w:val="auto"/>
        </w:rPr>
        <w:t>Provide growing solutions including the</w:t>
      </w:r>
      <w:r>
        <w:rPr>
          <w:sz w:val="20"/>
          <w:szCs w:val="20"/>
          <w:color w:val="auto"/>
        </w:rPr>
        <w:tab/>
      </w:r>
      <w:r>
        <w:rPr>
          <w:rFonts w:ascii="Arial" w:cs="Arial" w:eastAsia="Arial" w:hAnsi="Arial"/>
          <w:sz w:val="17"/>
          <w:szCs w:val="17"/>
          <w:color w:val="auto"/>
        </w:rPr>
        <w:t>Retail, fruits and vegetables, flowers,</w:t>
      </w:r>
    </w:p>
    <w:p>
      <w:pPr>
        <w:spacing w:after="0" w:line="27" w:lineRule="exact"/>
        <w:rPr>
          <w:sz w:val="20"/>
          <w:szCs w:val="20"/>
          <w:color w:val="auto"/>
        </w:rPr>
      </w:pPr>
    </w:p>
    <w:p>
      <w:pPr>
        <w:ind w:left="20"/>
        <w:spacing w:after="0"/>
        <w:tabs>
          <w:tab w:leader="none" w:pos="4200" w:val="left"/>
        </w:tabs>
        <w:rPr>
          <w:sz w:val="20"/>
          <w:szCs w:val="20"/>
          <w:color w:val="auto"/>
        </w:rPr>
      </w:pPr>
      <w:r>
        <w:rPr>
          <w:rFonts w:ascii="Arial" w:cs="Arial" w:eastAsia="Arial" w:hAnsi="Arial"/>
          <w:sz w:val="18"/>
          <w:szCs w:val="18"/>
          <w:color w:val="auto"/>
        </w:rPr>
        <w:t>designing, engineering, manufacturing, full</w:t>
      </w:r>
      <w:r>
        <w:rPr>
          <w:sz w:val="20"/>
          <w:szCs w:val="20"/>
          <w:color w:val="auto"/>
        </w:rPr>
        <w:tab/>
      </w:r>
      <w:r>
        <w:rPr>
          <w:rFonts w:ascii="Arial" w:cs="Arial" w:eastAsia="Arial" w:hAnsi="Arial"/>
          <w:sz w:val="17"/>
          <w:szCs w:val="17"/>
          <w:color w:val="auto"/>
        </w:rPr>
        <w:t>cannabis, commercial, institutional and</w:t>
      </w:r>
    </w:p>
    <w:p>
      <w:pPr>
        <w:spacing w:after="0" w:line="9" w:lineRule="exact"/>
        <w:rPr>
          <w:sz w:val="20"/>
          <w:szCs w:val="20"/>
          <w:color w:val="auto"/>
        </w:rPr>
      </w:pPr>
    </w:p>
    <w:p>
      <w:pPr>
        <w:ind w:left="20" w:right="260"/>
        <w:spacing w:after="0" w:line="266" w:lineRule="auto"/>
        <w:rPr>
          <w:sz w:val="20"/>
          <w:szCs w:val="20"/>
          <w:color w:val="auto"/>
        </w:rPr>
      </w:pPr>
      <w:r>
        <w:rPr>
          <w:rFonts w:ascii="Arial" w:cs="Arial" w:eastAsia="Arial" w:hAnsi="Arial"/>
          <w:sz w:val="18"/>
          <w:szCs w:val="18"/>
          <w:color w:val="auto"/>
        </w:rPr>
        <w:t>scope construction, maintenance and support of conservatories, car wash structures greenhouses and indoor growing operations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Large scale indoor produce growers; retail garden centers; conservatories and botanical gardens; floriculture growers; agricultural research; car washes; cannabis growers</w:t>
      </w:r>
    </w:p>
    <w:p>
      <w:pPr>
        <w:spacing w:after="0" w:line="200" w:lineRule="exact"/>
        <w:rPr>
          <w:sz w:val="20"/>
          <w:szCs w:val="20"/>
          <w:color w:val="auto"/>
        </w:rPr>
      </w:pPr>
    </w:p>
    <w:p>
      <w:pPr>
        <w:sectPr>
          <w:pgSz w:w="11900" w:h="16838" w:orient="portrait"/>
          <w:cols w:equalWidth="0" w:num="2">
            <w:col w:w="7300" w:space="400"/>
            <w:col w:w="3460"/>
          </w:cols>
          <w:pgMar w:left="320" w:top="121" w:right="41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Infrastructure Segment</w:t>
      </w:r>
    </w:p>
    <w:p>
      <w:pPr>
        <w:spacing w:after="0" w:line="277"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u w:val="single" w:color="auto"/>
          <w:color w:val="auto"/>
        </w:rPr>
        <w:t>Products</w:t>
      </w:r>
    </w:p>
    <w:p>
      <w:pPr>
        <w:spacing w:after="0" w:line="63" w:lineRule="exact"/>
        <w:rPr>
          <w:sz w:val="20"/>
          <w:szCs w:val="20"/>
          <w:color w:val="auto"/>
        </w:rPr>
      </w:pPr>
    </w:p>
    <w:p>
      <w:pPr>
        <w:jc w:val="center"/>
        <w:ind w:left="20"/>
        <w:spacing w:after="0"/>
        <w:rPr>
          <w:sz w:val="20"/>
          <w:szCs w:val="20"/>
          <w:color w:val="auto"/>
        </w:rPr>
      </w:pPr>
      <w:r>
        <w:rPr>
          <w:rFonts w:ascii="Arial" w:cs="Arial" w:eastAsia="Arial" w:hAnsi="Arial"/>
          <w:sz w:val="17"/>
          <w:szCs w:val="17"/>
          <w:color w:val="auto"/>
        </w:rPr>
        <w:t>Engineered solutions for bridges, highways and</w:t>
      </w:r>
    </w:p>
    <w:p>
      <w:pPr>
        <w:spacing w:after="0" w:line="61" w:lineRule="exact"/>
        <w:rPr>
          <w:sz w:val="20"/>
          <w:szCs w:val="20"/>
          <w:color w:val="auto"/>
        </w:rPr>
      </w:pPr>
    </w:p>
    <w:p>
      <w:pPr>
        <w:ind w:left="20" w:right="100"/>
        <w:spacing w:after="0" w:line="268" w:lineRule="auto"/>
        <w:rPr>
          <w:sz w:val="20"/>
          <w:szCs w:val="20"/>
          <w:color w:val="auto"/>
        </w:rPr>
      </w:pPr>
      <w:r>
        <w:rPr>
          <w:rFonts w:ascii="Arial" w:cs="Arial" w:eastAsia="Arial" w:hAnsi="Arial"/>
          <w:sz w:val="18"/>
          <w:szCs w:val="18"/>
          <w:color w:val="auto"/>
        </w:rPr>
        <w:t>airfields, including structural bearings, expansion joints, pavement seals, elastomeric concrete, bridge cable protection systems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center"/>
        <w:ind w:left="-99"/>
        <w:spacing w:after="0"/>
        <w:rPr>
          <w:sz w:val="20"/>
          <w:szCs w:val="20"/>
          <w:color w:val="auto"/>
        </w:rPr>
      </w:pPr>
      <w:r>
        <w:rPr>
          <w:rFonts w:ascii="Arial" w:cs="Arial" w:eastAsia="Arial" w:hAnsi="Arial"/>
          <w:sz w:val="18"/>
          <w:szCs w:val="18"/>
          <w:b w:val="1"/>
          <w:bCs w:val="1"/>
          <w:u w:val="single" w:color="auto"/>
          <w:color w:val="auto"/>
        </w:rPr>
        <w:t>Applications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Preserve functionality under varying weight, wind, temperature and seismic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u w:val="single" w:color="auto"/>
          <w:color w:val="auto"/>
        </w:rPr>
        <w:t>End Market</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Bridge and elevated highway construction, airport pavements</w:t>
      </w:r>
    </w:p>
    <w:p>
      <w:pPr>
        <w:spacing w:after="0" w:line="654" w:lineRule="exact"/>
        <w:rPr>
          <w:sz w:val="20"/>
          <w:szCs w:val="20"/>
          <w:color w:val="auto"/>
        </w:rPr>
      </w:pPr>
    </w:p>
    <w:p>
      <w:pPr>
        <w:sectPr>
          <w:pgSz w:w="11900" w:h="16838" w:orient="portrait"/>
          <w:cols w:equalWidth="0" w:num="3">
            <w:col w:w="3800" w:space="420"/>
            <w:col w:w="3060" w:space="420"/>
            <w:col w:w="3460"/>
          </w:cols>
          <w:pgMar w:left="320" w:top="121" w:right="41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operating businesses have established strong positions in attractive end markets by building core capabilities in innovation, new products and services, manufacturing and field operations, business systems, quality performance, along with a healthy balance sheet and the strength of our people. The Company will continue its focus of time, talent, and energy on strengthening its position in each market it serves.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Attractive End Markets</w:t>
      </w:r>
      <w:r>
        <w:rPr>
          <w:rFonts w:ascii="Times New Roman" w:cs="Times New Roman" w:eastAsia="Times New Roman" w:hAnsi="Times New Roman"/>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businesses are focused on solving global challenges accelerating renewable energy generation,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 the supply of locally-grown and more sustainably-produced food and plants, maintaining healthy and efficient home environments, supporting mail and package delivery, and improving the country’s transportation infrastructure and ways of transporting people.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Value-Added Products and Services</w:t>
      </w:r>
      <w:r>
        <w:rPr>
          <w:rFonts w:ascii="Times New Roman" w:cs="Times New Roman" w:eastAsia="Times New Roman" w:hAnsi="Times New Roman"/>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optimal solutions to its customers: racking, foundation, and electrical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photovoltaic solar systems, commercial growing greenhouses for biologically grown food, floriculture, and other plants; roof-related ventilation and weather protection to support healthy home environments; mail and package storage for home and retail and non-retail sites; and structural bearings, expansion joints and rubber products for bridges and other transportation structures. The Company's products and services are highly engineered, supported with intellectual property, and driven by effective business systems and IT infrastructure.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Commitment to Customer and Quality</w:t>
      </w:r>
      <w:r>
        <w:rPr>
          <w:rFonts w:ascii="Arial" w:cs="Arial" w:eastAsia="Arial" w:hAnsi="Arial"/>
          <w:sz w:val="18"/>
          <w:szCs w:val="18"/>
          <w:color w:val="auto"/>
        </w:rPr>
        <w:t>. The Company strives to be connected directly with its end customers, where it receives unfiltered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feedback on performance, insight on customer problems and opportunities, and cooperation on ideas for new products, services, and business model optimization. The percentage of the Company's total revenue generated from products and services that were sold directly to the end user was approximately 45% and the Company expects this to grow in future years. The Company's commitment to quality is a core operating tenet, and its quality management systems are designed to ensure the Company delivers to meet customer and stakeholder expectations.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Strong Liquidity Profile</w:t>
      </w:r>
      <w:r>
        <w:rPr>
          <w:rFonts w:ascii="Arial" w:cs="Arial" w:eastAsia="Arial" w:hAnsi="Arial"/>
          <w:sz w:val="18"/>
          <w:szCs w:val="18"/>
          <w:color w:val="auto"/>
        </w:rPr>
        <w:t>. The Company strives to manage its cash resources to ensure sufficient liquidity to fund growth initiatives,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seasonality of its businesses and manage effectively through economic cycles. As of December 31, 2023, the Company's liquidity was $495.5 million, including $99.4 million of cash and $396.1 million of availability under its revolving credit facility. The Company believes its low leverage and ample borrowing capacity, along with flexibility in its Credit Agreement, provides the Company with the financial capacity to fund its ongoing business requirements, strategic initiatives, and acquisition opportunities.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December 1, 2023, the Company sold its Japan-based solar racking business within its Renewables segment to a third party and received net proceeds of $8.0 million.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5, 2023, the Company acquired the assets of a privately held Utah-based company that manufactures and distributes roof flashing and accessory products for $10.4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Products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customers are located primarily throughout North America. One customer, a home improvement retailer which purchases from the Residential segment represented 13%, 14% and 13% of the Company's consolidated net sales for the years ended December 31, 2023, 2022 and 2021, respectively. No other customer in any segment or segments accounted for more than 10% of the Company's consolidated net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Renewables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Renewables segment designs, manufactures and installs solar energy mounting systems including foundation, racking, and electrical balance of systems for developers, EPCs and owners / operators of solar fields.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integral part of solar projects is the design, engineering, and fabrication of unique structures and electrical balance of systems ("eBOS"), as well as the field installation of both whether applied to a ground-mounted or carport systems. The Company provides both fixed tilt and tracker racking systems along with either a screw or pile driven foundation systems. Most of the Company's production is completed using computer numerical control machines, roll forming machines, laser cutters and other fabrication tools. The structural metal components are designed, engineered, fabricated and installed in accordance with applicable building codes.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products introduced in recent years include screw-based racking and foundation solutions, operating software to optimize solar energy investments, and single-axis tracker systems. The Company's screw-based racking foundation offers rapid and secure installation on any terrain. The Company's operating software enables its team to optimize solar project design utilizing solar irradiance data and topography analysis to quickly and automatically generate multiple potential layouts for complex projects. The single-axis tracker systems support and adapt to a variety of site conditions while also reducing the typical civil work preparation and installation costs associated with projects. The patented design eliminates complexities incorporated in traditional systems, simplifying the operations and maintenance of the system, along with streamlining the installation process. Other products offered include solar racking systems for both carports and pile-driven ground mount systems and eBOS. Solar racking systems for carports serve as protection for cars from the effects of the sun and intense heat while providing a renewable energy source. Similarly, solar racking systems installed on idle land, such as solid waste landfills, or on challenging, rocky terrain, converts such land into a useful property by providing clean renewable power generating capabilities. An eBOS system supports the conversion of captured sunlight to direct current energy. The Company is a full eBOS solution provider, from combiner boxes that take multiple source circuits and combine them into a single output to pre-fabricated and customized wire harnesses and source circuit lengths which greatly shorten field installation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Residential</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Residential segment serves both the residential repair and remodeling and new housing construction markets in North America with products and services including roof and foundation ventilation products, single point and centralized mail systems and electronic package solutions, outdoor living space products (sun-shading), rain dispersion systems, metal roofing job site services, and other construction accessories. The Company's residential product offerings are sold through major retail home centers, building material wholesalers, building product distributors, buying groups, roofing distributors, residential contractors, property management companies, manufactured housing dealers, postal services distributors and providers, and online direct to end consumers.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mail and electronic package solutions include single mailboxes, cluster style mail and parcel boxes for single and multi-family housing, and electronic package locker systems. The Company's remaining residential product offerings consist of roof edging and flashing, soffits and trim, drywall corner bead, metal roofing and accessories, rain dispersion products, including gutters and accessories, and exterior retractable awnings. Each of these product offerings can be sold separately or as part of a system solution.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strives to improve its product-solution offerings while adapting to local and regional building codes and new products recently introduced include efficient-installation ventilation solutions, next generation single mailboxes, electronic parcel lockers, pipe flashings and remote-controlled deck awnings and valances for sun protection. The Company's ventilation and roof flashing products provide protection and extend the life of residential structures while providing a safer, healthier environment for residents. The Company's building products are manufactured primarily from galvanized and painted steel, anodized and painted aluminum, and various resins. The Company's cluster box mail delivery products provide delivery cost savings to the postal service while offering secure storage for delivered mail and packages. The Company's electronic parcel lockers systems provide multi-family communities and businesses a secure storage solution to handle both package deliveries and receipt of other goods, along with helping retail businesses and their customers to transact via buy online, pick up in store transactions.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leverages its production capabilities and supply chain across the U.S. while maintaining the capability to support the many local and regional customer requirements. The production facilities and processes are designed to provide a broad, but locally focused product range of residential products, and includes automated roll forming and injection molding, welding, stamping, and finished painting. The Company maintains its equipment through daily maintenance and a preventive maintenance program. In some cases, the Company sources products from third-party vendors to optimize cost and quality in order to provide the very best and affordable solution for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Agtech</w:t>
      </w: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Agtech segment designs, manufactures, and builds advanced-technology turnkey greenhouse growing facilities for large-scale indoor commercial growers of fruits and vegetables, plants and flowers, and agricultural research and development facilities with over 100</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universities in the United States. Large scale greenhouse facilities are unique to a particular type of plant, vegetable, flower, or fruit, and require unique structures, growing systems, and the integration of the structure and the systems.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Infrastructure</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Infrastructure segment serves highway and bridge construction and airports through commercial and transportation contractors and fabricators. The Company's products include expansion joints, structural bearings, rubber pre-formed seals and other sealants, elastomeric concrete, and bridge cable protection systems. Infrastructure's products are manufactured primarily from plate, rail and structural steel along with various resin and rubber based materials. The products manufactured are highly engineered to meet the exact specifications for the particular project undertaken.</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New products introduced in recent years extend the infrastructure products into new markets. High speed and traditional rail projects involving elevated structures have created new opportunities in recent years. Engineered pavement sealants for roadways are commonly used in airport runways, for both existing runways and expansion projects. Its corrosion-protection products for cable-suspension bridges are now marketed and sold internationally and have been used on numerous signature bridges.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Technical Services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business segments employ engineers and other technical personnel to perform a variety of key tasks which include the identification and implementation of improvements to its manufacturing process, redesign of its products for better performance, the development of new products and identification and execution of cost reduction activities. In addition, the Company's engineering staff employs a range of software to design highly specialized and technically precise products. In the Renewables, Agtech, and Infrastructure segments, drawings are approved and stamped by state licensed professional engineers as required by individual projects. Technical service personnel also work in conjunction with the Company's sales and product management teams in the new product development process to determine the types of products and services that suit the needs of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Raw Materials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is required to maintain sufficient quantities of raw material inventory in order to accommodate customers' delivery requirements. Accordingly, the Company plans its purchases to maintain raw materials at sufficient levels to satisfy the anticipated needs of customers. The Company has implemented enterprise resource planning systems along with a corporate wide SIOP (Sales, Inventory, Operations Planning process) to better manage inventory, forecast customer orders, enable efficient supply chain management, and allow for timely counter-measures to changing market conditions.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raw materials the Company purchases are flat-rolled, structural and plate steel, aluminum coil and extrusions, and resins. The Company purchases flat-rolled and plate steel and aluminum at regular intervals on an as-needed basis, primarily from the major North American mills, as well as a limited amount from domestic service centers and foreign steel importers. Substantially all of its resins are purchased from domestic vendors, primarily through distributors, with a small amount purchased directly from manufacturers. Management continually evaluates improvements in the Company's purchasing practices across its geographically dispersed facilities in order to streamline purchasing across similar commodities.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purchases natural gas and electricity from suppliers in proximity to its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actively protects its proprietary rights by the use of trademark, copyright, and patent registrations. While the Company does not believe that any individual item of its intellectual property is material, the Company believes its trademarks, copyrights, and patents provide the Company with a competitive advantage when marketing its products to customers. The Company also believes its brands are well recognized in the markets it serves and the Company believes the brands stand for high-quality manufactured goods at a competitive price. These trademarks, copyrights, and patent registrations help the Company maintain product leadership positions for the goods it offers.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2023, approximately 41% of the Company's revenues were generated from products and services that were sold directly to the end user, with the remainder of revenues generated through retailers, wholesalers and distributors. The Company's sales process regularly includes a competitive bid process, and its reputation for product and service quality and meeting delivery requirements make the Company a preferred provider for many customers.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marketing focus is to build an enhanced cohesive brand strategy for Gibraltar—ensuring the Company has a defined purpose and values and ensuring the Company's brand messages reflect the needs of the market and the capabilities of its businesses with "We advance the art and science of making and celebrate the people that make life better". In addition, the businesses in the Company's Renewables segment were integrated and rebranded under the brand name Terrasmart at the beginning of 2022 and the Company's businesses in its Agtech segment were consolidated under the brand name Prospiant during 2021. In their markets, both brands reflect the Company's unique value to customers.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Customer Relationship Management systems provides important aggregate market data and visibility into sales account status and enabling cross-sell and up-sell opportunities.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Backlog represents the value of the total confirmed orders at a point in time for which performance obligations have not yet been satisfied. Only actual orders with signed contracts are included in the Company's backlog. This metric is useful as it reflects the committed amount the Company expects to recognize as revenue in the near-term.</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the majority of the Company's products have short lead time order cycles, the Company has aggregated approximately $330 million of backlog at December 31, 2023 compared to $299 million at December 31, 2022. The backlog primarily relates to certain business units in the Company's Renewables, Agtech, and Infrastructure segments. The Company believes that the performance obligations related to the majority of its backlog will be satisfied and related revenue recognized during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operates in highly competitive markets with several competitors participating in each of its end markets. The Company goes to market with a focused and broad range of high quality products, executes with speed and industry-leading service, value-based pricing and project management and field operations in its Agtech and Renewables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end markets have historically experienced seasonal demand fluctuation, with lower demand typically in the first and fourth quarters. Levels of residential and commercial construction can be cyclical and can depend on interest rates, availability of financing, inflation, employment, spending habits, consumer confidence and cost and availability of skilled labor. Furthermore, general economic forces, such as tax credit expirations, imposed tariffs and changes in the Company’s products and customer mix can and have shifted traditional seasonal fluctuations in revenue over the past few years.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production processes involve the use of environmentally regulated materials. The Company believes that the Company operates its business in material compliance with all federal, state and local environmental laws and regulations, and does not anticipate any material adverse effect on its financial condition or results of operations to maintain compliance with such laws and regulations. However, the Company could incur operating costs or capital expenditures in complying with new or more stringent environmental requirements in the future or with current requirements if they are applied to its manufacturing facilities or distribution centers in a way the Company does not anticipate. In addition, new or more stringent regulation of the Company's energy suppliers could cause them to increase the price of energy.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operations are also governed by many other laws and regulations covering its labor relationships, the import and export of goods, the zoning of its facilities, taxes, its general business practices, and other matters. The Company believes that it is in material compliance with these laws and regulations and does not believe that future compliance with such laws and regulations will have a material adverse effect on its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 Organization Development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foundation for the Company's focus on organizational development is built on two fundamental beliefs:</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ability to perform and deliver shareholder value is dependent on our people, and</w:t>
      </w:r>
    </w:p>
    <w:p>
      <w:pPr>
        <w:spacing w:after="0" w:line="27"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member of the Company's team plays an important role in creating an environment where individuals are respected and valued and diverse teams have the best chance to thrive.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seeks to support an array of career pathways and life journeys by engaging the entire organization, with areas of focus that include Health and Safety, Education and Development, Diversity and Inclusion, Compensation and Benefits, as well as Communication and Employee Engagement.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employed 2,097 full-time employees and 13 part-time employees as of December 31, 2023. Of the Company's 2,110 total employees, 796 were classified as salaried and 1,314 classified as hourly. The Company also employed approximately 358 full-time equivalent temporary agency employees. Approximately 6% of the Company's U.S. workforce was represented by unions through two collective bargaining agreements ("CBAs") as of December 31, 2023. Both of the Company's CBAs will expire and are expected to be renegotiated in 2024. The Company considers its employee relations to be good.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and Safety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expects each team member of the Company to follow the Company's safety standards and practices, support the Company's key safety initiatives, be accountable to themselves and each other, and be part of safety solutions. The Company believes all accidents and near-misses are preventable as the Company strives to create a zero incident work environment.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continued to invest in the Company's safety organization, and implemented a disciplined safety management and reporting process, measuring and reviewing the Company's safety results continuously in each location. The Company's CEO reviews safety performance monthly, including recordable incidents, near misses, and first aid cases. Safety performance and best practices are also reviewed quarterly with the entire organization during company-wide Town Hall meetings and with the Company's Board of Directors during quarterly board meetings.</w:t>
      </w:r>
    </w:p>
    <w:p>
      <w:pPr>
        <w:spacing w:after="0" w:line="17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Each of the Company's businesses have a safety team that assesses all recordable incidents and near misses to identify mitigating actions to prevent accidents in the future. The Company's businesses also identify additional safety investments required for training, education, equipment, and processes as part of the Company's annual budget and capital planning procedure.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continuously evolving its crisis management plans as the Company gains experience, reviews industry best practices, and continues to develop more effective tools, processes, and policies. In an emergency, the Company's priorities are to protect the welfare of our people and to maintain business continuity.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and Inclusion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supports and encourages a culture where diversity of thought flourishes and all employees feel appreciated, included, and know they have an equal opportunity to develop, grow, and succeed based on their performance. The Company believes demonstrating respect for our people and valuing their perspectives and their contributions is critical to cultivating the Company's best and most successful work environment.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Key demographics for the Company's employees are shown below. While the figures below are in total, the Company evaluates its organization against the diversity of the communities that the Company operates in, with a goal of being representative at the community level.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Workforce Composition (Gender and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4757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6"/>
              </w:rPr>
              <w:t>Total by</w:t>
            </w:r>
          </w:p>
        </w:tc>
        <w:tc>
          <w:tcPr>
            <w:tcW w:w="100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jc w:val="center"/>
              <w:ind w:left="30"/>
              <w:spacing w:after="0"/>
              <w:rPr>
                <w:sz w:val="20"/>
                <w:szCs w:val="20"/>
                <w:color w:val="auto"/>
              </w:rPr>
            </w:pPr>
            <w:r>
              <w:rPr>
                <w:rFonts w:ascii="Arial" w:cs="Arial" w:eastAsia="Arial" w:hAnsi="Arial"/>
                <w:sz w:val="18"/>
                <w:szCs w:val="18"/>
                <w:color w:val="auto"/>
              </w:rPr>
              <w:t>Non-</w:t>
            </w:r>
          </w:p>
        </w:tc>
        <w:tc>
          <w:tcPr>
            <w:tcW w:w="1100" w:type="dxa"/>
            <w:vAlign w:val="bottom"/>
          </w:tcPr>
          <w:p>
            <w:pPr>
              <w:jc w:val="center"/>
              <w:ind w:left="50"/>
              <w:spacing w:after="0"/>
              <w:rPr>
                <w:sz w:val="20"/>
                <w:szCs w:val="20"/>
                <w:color w:val="auto"/>
              </w:rPr>
            </w:pPr>
            <w:r>
              <w:rPr>
                <w:rFonts w:ascii="Arial" w:cs="Arial" w:eastAsia="Arial" w:hAnsi="Arial"/>
                <w:sz w:val="18"/>
                <w:szCs w:val="18"/>
                <w:color w:val="auto"/>
                <w:w w:val="99"/>
              </w:rPr>
              <w:t>Age</w:t>
            </w:r>
          </w:p>
        </w:tc>
        <w:tc>
          <w:tcPr>
            <w:tcW w:w="4740" w:type="dxa"/>
            <w:vAlign w:val="bottom"/>
            <w:gridSpan w:val="2"/>
          </w:tcPr>
          <w:p>
            <w:pPr>
              <w:jc w:val="center"/>
              <w:ind w:right="3640"/>
              <w:spacing w:after="0"/>
              <w:rPr>
                <w:sz w:val="20"/>
                <w:szCs w:val="20"/>
                <w:color w:val="auto"/>
              </w:rPr>
            </w:pPr>
            <w:r>
              <w:rPr>
                <w:rFonts w:ascii="Arial" w:cs="Arial" w:eastAsia="Arial" w:hAnsi="Arial"/>
                <w:sz w:val="18"/>
                <w:szCs w:val="18"/>
                <w:color w:val="auto"/>
              </w:rPr>
              <w:t>% by Age</w:t>
            </w:r>
          </w:p>
        </w:tc>
      </w:tr>
      <w:tr>
        <w:trPr>
          <w:trHeight w:val="239"/>
        </w:trPr>
        <w:tc>
          <w:tcPr>
            <w:tcW w:w="2400" w:type="dxa"/>
            <w:vAlign w:val="bottom"/>
          </w:tcPr>
          <w:p>
            <w:pPr>
              <w:ind w:left="300"/>
              <w:spacing w:after="0"/>
              <w:rPr>
                <w:sz w:val="20"/>
                <w:szCs w:val="20"/>
                <w:color w:val="auto"/>
              </w:rPr>
            </w:pPr>
            <w:r>
              <w:rPr>
                <w:rFonts w:ascii="Arial" w:cs="Arial" w:eastAsia="Arial" w:hAnsi="Arial"/>
                <w:sz w:val="18"/>
                <w:szCs w:val="18"/>
                <w:color w:val="auto"/>
              </w:rPr>
              <w:t>Employee Age Groups</w:t>
            </w:r>
          </w:p>
        </w:tc>
        <w:tc>
          <w:tcPr>
            <w:tcW w:w="1120" w:type="dxa"/>
            <w:vAlign w:val="bottom"/>
          </w:tcPr>
          <w:p>
            <w:pPr>
              <w:ind w:left="280"/>
              <w:spacing w:after="0"/>
              <w:rPr>
                <w:sz w:val="20"/>
                <w:szCs w:val="20"/>
                <w:color w:val="auto"/>
              </w:rPr>
            </w:pPr>
            <w:r>
              <w:rPr>
                <w:rFonts w:ascii="Arial" w:cs="Arial" w:eastAsia="Arial" w:hAnsi="Arial"/>
                <w:sz w:val="18"/>
                <w:szCs w:val="18"/>
                <w:color w:val="auto"/>
              </w:rPr>
              <w:t>Female</w:t>
            </w:r>
          </w:p>
        </w:tc>
        <w:tc>
          <w:tcPr>
            <w:tcW w:w="1000" w:type="dxa"/>
            <w:vAlign w:val="bottom"/>
          </w:tcPr>
          <w:p>
            <w:pPr>
              <w:ind w:left="280"/>
              <w:spacing w:after="0"/>
              <w:rPr>
                <w:sz w:val="20"/>
                <w:szCs w:val="20"/>
                <w:color w:val="auto"/>
              </w:rPr>
            </w:pPr>
            <w:r>
              <w:rPr>
                <w:rFonts w:ascii="Arial" w:cs="Arial" w:eastAsia="Arial" w:hAnsi="Arial"/>
                <w:sz w:val="18"/>
                <w:szCs w:val="18"/>
                <w:color w:val="auto"/>
              </w:rPr>
              <w:t>Male</w:t>
            </w:r>
          </w:p>
        </w:tc>
        <w:tc>
          <w:tcPr>
            <w:tcW w:w="880" w:type="dxa"/>
            <w:vAlign w:val="bottom"/>
          </w:tcPr>
          <w:p>
            <w:pPr>
              <w:jc w:val="center"/>
              <w:ind w:left="30"/>
              <w:spacing w:after="0"/>
              <w:rPr>
                <w:sz w:val="20"/>
                <w:szCs w:val="20"/>
                <w:color w:val="auto"/>
              </w:rPr>
            </w:pPr>
            <w:r>
              <w:rPr>
                <w:rFonts w:ascii="Arial" w:cs="Arial" w:eastAsia="Arial" w:hAnsi="Arial"/>
                <w:sz w:val="18"/>
                <w:szCs w:val="18"/>
                <w:color w:val="auto"/>
              </w:rPr>
              <w:t>Binary</w:t>
            </w: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9"/>
              </w:rPr>
              <w:t>Group</w:t>
            </w:r>
          </w:p>
        </w:tc>
        <w:tc>
          <w:tcPr>
            <w:tcW w:w="4740" w:type="dxa"/>
            <w:vAlign w:val="bottom"/>
            <w:gridSpan w:val="2"/>
          </w:tcPr>
          <w:p>
            <w:pPr>
              <w:jc w:val="center"/>
              <w:ind w:right="3640"/>
              <w:spacing w:after="0"/>
              <w:rPr>
                <w:sz w:val="20"/>
                <w:szCs w:val="20"/>
                <w:color w:val="auto"/>
              </w:rPr>
            </w:pPr>
            <w:r>
              <w:rPr>
                <w:rFonts w:ascii="Arial" w:cs="Arial" w:eastAsia="Arial" w:hAnsi="Arial"/>
                <w:sz w:val="18"/>
                <w:szCs w:val="18"/>
                <w:color w:val="auto"/>
                <w:w w:val="99"/>
              </w:rPr>
              <w:t>Group</w:t>
            </w:r>
          </w:p>
        </w:tc>
      </w:tr>
      <w:tr>
        <w:trPr>
          <w:trHeight w:val="23"/>
        </w:trPr>
        <w:tc>
          <w:tcPr>
            <w:tcW w:w="2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740" w:type="dxa"/>
            <w:vAlign w:val="bottom"/>
          </w:tcPr>
          <w:p>
            <w:pPr>
              <w:spacing w:after="0"/>
              <w:rPr>
                <w:sz w:val="2"/>
                <w:szCs w:val="2"/>
                <w:color w:val="auto"/>
              </w:rPr>
            </w:pPr>
          </w:p>
        </w:tc>
      </w:tr>
      <w:tr>
        <w:trPr>
          <w:trHeight w:val="236"/>
        </w:trPr>
        <w:tc>
          <w:tcPr>
            <w:tcW w:w="2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&lt; 30 years of age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276</w:t>
            </w: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2</w:t>
            </w:r>
          </w:p>
        </w:tc>
        <w:tc>
          <w:tcPr>
            <w:tcW w:w="11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364</w:t>
            </w:r>
          </w:p>
        </w:tc>
        <w:tc>
          <w:tcPr>
            <w:tcW w:w="1000" w:type="dxa"/>
            <w:vAlign w:val="bottom"/>
            <w:shd w:val="clear" w:color="auto" w:fill="CCEEFF"/>
          </w:tcPr>
          <w:p>
            <w:pPr>
              <w:jc w:val="center"/>
              <w:ind w:left="10"/>
              <w:spacing w:after="0"/>
              <w:rPr>
                <w:sz w:val="20"/>
                <w:szCs w:val="20"/>
                <w:color w:val="auto"/>
              </w:rPr>
            </w:pPr>
            <w:r>
              <w:rPr>
                <w:rFonts w:ascii="Arial" w:cs="Arial" w:eastAsia="Arial" w:hAnsi="Arial"/>
                <w:sz w:val="18"/>
                <w:szCs w:val="18"/>
                <w:i w:val="1"/>
                <w:iCs w:val="1"/>
                <w:color w:val="auto"/>
                <w:w w:val="97"/>
              </w:rPr>
              <w:t>17.3%</w:t>
            </w:r>
          </w:p>
        </w:tc>
        <w:tc>
          <w:tcPr>
            <w:tcW w:w="3740" w:type="dxa"/>
            <w:vAlign w:val="bottom"/>
          </w:tcPr>
          <w:p>
            <w:pPr>
              <w:spacing w:after="0"/>
              <w:rPr>
                <w:sz w:val="20"/>
                <w:szCs w:val="20"/>
                <w:color w:val="auto"/>
              </w:rPr>
            </w:pPr>
          </w:p>
        </w:tc>
      </w:tr>
      <w:tr>
        <w:trPr>
          <w:trHeight w:val="257"/>
        </w:trPr>
        <w:tc>
          <w:tcPr>
            <w:tcW w:w="2400" w:type="dxa"/>
            <w:vAlign w:val="bottom"/>
          </w:tcPr>
          <w:p>
            <w:pPr>
              <w:ind w:left="140"/>
              <w:spacing w:after="0"/>
              <w:rPr>
                <w:sz w:val="20"/>
                <w:szCs w:val="20"/>
                <w:color w:val="auto"/>
              </w:rPr>
            </w:pPr>
            <w:r>
              <w:rPr>
                <w:rFonts w:ascii="Arial" w:cs="Arial" w:eastAsia="Arial" w:hAnsi="Arial"/>
                <w:sz w:val="18"/>
                <w:szCs w:val="18"/>
                <w:color w:val="auto"/>
              </w:rPr>
              <w:t>30 - 49 years of age</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297</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678</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9"/>
              </w:rPr>
              <w:t>975</w:t>
            </w:r>
          </w:p>
        </w:tc>
        <w:tc>
          <w:tcPr>
            <w:tcW w:w="1000" w:type="dxa"/>
            <w:vAlign w:val="bottom"/>
          </w:tcPr>
          <w:p>
            <w:pPr>
              <w:jc w:val="center"/>
              <w:ind w:left="10"/>
              <w:spacing w:after="0"/>
              <w:rPr>
                <w:sz w:val="20"/>
                <w:szCs w:val="20"/>
                <w:color w:val="auto"/>
              </w:rPr>
            </w:pPr>
            <w:r>
              <w:rPr>
                <w:rFonts w:ascii="Arial" w:cs="Arial" w:eastAsia="Arial" w:hAnsi="Arial"/>
                <w:sz w:val="18"/>
                <w:szCs w:val="18"/>
                <w:i w:val="1"/>
                <w:iCs w:val="1"/>
                <w:color w:val="auto"/>
                <w:w w:val="97"/>
              </w:rPr>
              <w:t>46.2%</w:t>
            </w:r>
          </w:p>
        </w:tc>
        <w:tc>
          <w:tcPr>
            <w:tcW w:w="3740" w:type="dxa"/>
            <w:vAlign w:val="bottom"/>
          </w:tcPr>
          <w:p>
            <w:pPr>
              <w:spacing w:after="0"/>
              <w:rPr>
                <w:sz w:val="22"/>
                <w:szCs w:val="22"/>
                <w:color w:val="auto"/>
              </w:rPr>
            </w:pPr>
          </w:p>
        </w:tc>
      </w:tr>
      <w:tr>
        <w:trPr>
          <w:trHeight w:val="256"/>
        </w:trPr>
        <w:tc>
          <w:tcPr>
            <w:tcW w:w="2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 years of age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526</w:t>
            </w: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771</w:t>
            </w:r>
          </w:p>
        </w:tc>
        <w:tc>
          <w:tcPr>
            <w:tcW w:w="1000" w:type="dxa"/>
            <w:vAlign w:val="bottom"/>
            <w:shd w:val="clear" w:color="auto" w:fill="CCEEFF"/>
          </w:tcPr>
          <w:p>
            <w:pPr>
              <w:jc w:val="center"/>
              <w:ind w:left="10"/>
              <w:spacing w:after="0"/>
              <w:rPr>
                <w:sz w:val="20"/>
                <w:szCs w:val="20"/>
                <w:color w:val="auto"/>
              </w:rPr>
            </w:pPr>
            <w:r>
              <w:rPr>
                <w:rFonts w:ascii="Arial" w:cs="Arial" w:eastAsia="Arial" w:hAnsi="Arial"/>
                <w:sz w:val="18"/>
                <w:szCs w:val="18"/>
                <w:i w:val="1"/>
                <w:iCs w:val="1"/>
                <w:color w:val="auto"/>
                <w:w w:val="97"/>
              </w:rPr>
              <w:t>36.5%</w:t>
            </w:r>
          </w:p>
        </w:tc>
        <w:tc>
          <w:tcPr>
            <w:tcW w:w="3740" w:type="dxa"/>
            <w:vAlign w:val="bottom"/>
          </w:tcPr>
          <w:p>
            <w:pPr>
              <w:spacing w:after="0"/>
              <w:rPr>
                <w:sz w:val="22"/>
                <w:szCs w:val="22"/>
                <w:color w:val="auto"/>
              </w:rPr>
            </w:pPr>
          </w:p>
        </w:tc>
      </w:tr>
      <w:tr>
        <w:trPr>
          <w:trHeight w:val="257"/>
        </w:trPr>
        <w:tc>
          <w:tcPr>
            <w:tcW w:w="240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628</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7"/>
              </w:rPr>
              <w:t>1,480</w:t>
            </w:r>
          </w:p>
        </w:tc>
        <w:tc>
          <w:tcPr>
            <w:tcW w:w="88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2</w:t>
            </w:r>
          </w:p>
        </w:tc>
        <w:tc>
          <w:tcPr>
            <w:tcW w:w="1100" w:type="dxa"/>
            <w:vAlign w:val="bottom"/>
          </w:tcPr>
          <w:p>
            <w:pPr>
              <w:jc w:val="center"/>
              <w:ind w:left="50"/>
              <w:spacing w:after="0"/>
              <w:rPr>
                <w:sz w:val="20"/>
                <w:szCs w:val="20"/>
                <w:color w:val="auto"/>
              </w:rPr>
            </w:pPr>
            <w:r>
              <w:rPr>
                <w:rFonts w:ascii="Arial" w:cs="Arial" w:eastAsia="Arial" w:hAnsi="Arial"/>
                <w:sz w:val="18"/>
                <w:szCs w:val="18"/>
                <w:b w:val="1"/>
                <w:bCs w:val="1"/>
                <w:color w:val="auto"/>
                <w:w w:val="97"/>
              </w:rPr>
              <w:t>2,110</w:t>
            </w:r>
          </w:p>
        </w:tc>
        <w:tc>
          <w:tcPr>
            <w:tcW w:w="1000" w:type="dxa"/>
            <w:vAlign w:val="bottom"/>
          </w:tcPr>
          <w:p>
            <w:pPr>
              <w:spacing w:after="0"/>
              <w:rPr>
                <w:sz w:val="22"/>
                <w:szCs w:val="22"/>
                <w:color w:val="auto"/>
              </w:rPr>
            </w:pPr>
          </w:p>
        </w:tc>
        <w:tc>
          <w:tcPr>
            <w:tcW w:w="3740" w:type="dxa"/>
            <w:vAlign w:val="bottom"/>
          </w:tcPr>
          <w:p>
            <w:pPr>
              <w:spacing w:after="0"/>
              <w:rPr>
                <w:sz w:val="22"/>
                <w:szCs w:val="22"/>
                <w:color w:val="auto"/>
              </w:rPr>
            </w:pPr>
          </w:p>
        </w:tc>
      </w:tr>
      <w:tr>
        <w:trPr>
          <w:trHeight w:val="256"/>
        </w:trPr>
        <w:tc>
          <w:tcPr>
            <w:tcW w:w="24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As a percentage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rPr>
              <w:t>29.8%</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rPr>
              <w:t>70.1%</w:t>
            </w:r>
          </w:p>
        </w:tc>
        <w:tc>
          <w:tcPr>
            <w:tcW w:w="88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97"/>
              </w:rPr>
              <w:t>0.1%</w:t>
            </w:r>
          </w:p>
        </w:tc>
        <w:tc>
          <w:tcPr>
            <w:tcW w:w="1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740" w:type="dxa"/>
            <w:vAlign w:val="bottom"/>
          </w:tcPr>
          <w:p>
            <w:pPr>
              <w:spacing w:after="0"/>
              <w:rPr>
                <w:sz w:val="22"/>
                <w:szCs w:val="22"/>
                <w:color w:val="auto"/>
              </w:rPr>
            </w:pPr>
          </w:p>
        </w:tc>
      </w:tr>
      <w:tr>
        <w:trPr>
          <w:trHeight w:val="868"/>
        </w:trPr>
        <w:tc>
          <w:tcPr>
            <w:tcW w:w="2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jc w:val="right"/>
              <w:ind w:right="690"/>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11"/>
        </w:trPr>
        <w:tc>
          <w:tcPr>
            <w:tcW w:w="24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2023 Employees by Employment Type (by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47574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center"/>
              <w:ind w:right="110"/>
              <w:spacing w:after="0"/>
              <w:rPr>
                <w:sz w:val="20"/>
                <w:szCs w:val="20"/>
                <w:color w:val="auto"/>
              </w:rPr>
            </w:pPr>
            <w:r>
              <w:rPr>
                <w:rFonts w:ascii="Arial" w:cs="Arial" w:eastAsia="Arial" w:hAnsi="Arial"/>
                <w:sz w:val="18"/>
                <w:szCs w:val="18"/>
                <w:color w:val="auto"/>
              </w:rPr>
              <w:t>Non-</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6"/>
              </w:rPr>
              <w:t>Total by</w:t>
            </w:r>
          </w:p>
        </w:tc>
        <w:tc>
          <w:tcPr>
            <w:tcW w:w="1020" w:type="dxa"/>
            <w:vAlign w:val="bottom"/>
          </w:tcPr>
          <w:p>
            <w:pPr>
              <w:spacing w:after="0"/>
              <w:rPr>
                <w:sz w:val="18"/>
                <w:szCs w:val="18"/>
                <w:color w:val="auto"/>
              </w:rPr>
            </w:pPr>
          </w:p>
        </w:tc>
      </w:tr>
      <w:tr>
        <w:trPr>
          <w:trHeight w:val="239"/>
        </w:trPr>
        <w:tc>
          <w:tcPr>
            <w:tcW w:w="2620" w:type="dxa"/>
            <w:vAlign w:val="bottom"/>
          </w:tcPr>
          <w:p>
            <w:pPr>
              <w:ind w:left="560"/>
              <w:spacing w:after="0"/>
              <w:rPr>
                <w:sz w:val="20"/>
                <w:szCs w:val="20"/>
                <w:color w:val="auto"/>
              </w:rPr>
            </w:pPr>
            <w:r>
              <w:rPr>
                <w:rFonts w:ascii="Arial" w:cs="Arial" w:eastAsia="Arial" w:hAnsi="Arial"/>
                <w:sz w:val="18"/>
                <w:szCs w:val="18"/>
                <w:color w:val="auto"/>
              </w:rPr>
              <w:t>Employee Type</w:t>
            </w: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Female</w:t>
            </w:r>
          </w:p>
        </w:tc>
        <w:tc>
          <w:tcPr>
            <w:tcW w:w="1020" w:type="dxa"/>
            <w:vAlign w:val="bottom"/>
          </w:tcPr>
          <w:p>
            <w:pPr>
              <w:ind w:left="80"/>
              <w:spacing w:after="0"/>
              <w:rPr>
                <w:sz w:val="20"/>
                <w:szCs w:val="20"/>
                <w:color w:val="auto"/>
              </w:rPr>
            </w:pPr>
            <w:r>
              <w:rPr>
                <w:rFonts w:ascii="Arial" w:cs="Arial" w:eastAsia="Arial" w:hAnsi="Arial"/>
                <w:sz w:val="18"/>
                <w:szCs w:val="18"/>
                <w:color w:val="auto"/>
              </w:rPr>
              <w:t>Male</w:t>
            </w:r>
          </w:p>
        </w:tc>
        <w:tc>
          <w:tcPr>
            <w:tcW w:w="760" w:type="dxa"/>
            <w:vAlign w:val="bottom"/>
            <w:gridSpan w:val="2"/>
          </w:tcPr>
          <w:p>
            <w:pPr>
              <w:jc w:val="center"/>
              <w:ind w:right="110"/>
              <w:spacing w:after="0"/>
              <w:rPr>
                <w:sz w:val="20"/>
                <w:szCs w:val="20"/>
                <w:color w:val="auto"/>
              </w:rPr>
            </w:pPr>
            <w:r>
              <w:rPr>
                <w:rFonts w:ascii="Arial" w:cs="Arial" w:eastAsia="Arial" w:hAnsi="Arial"/>
                <w:sz w:val="18"/>
                <w:szCs w:val="18"/>
                <w:color w:val="auto"/>
              </w:rPr>
              <w:t>Binary</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Type</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8"/>
              </w:rPr>
              <w:t>% by Type</w:t>
            </w:r>
          </w:p>
        </w:tc>
      </w:tr>
      <w:tr>
        <w:trPr>
          <w:trHeight w:val="23"/>
        </w:trPr>
        <w:tc>
          <w:tcPr>
            <w:tcW w:w="2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Salary</w:t>
            </w:r>
          </w:p>
        </w:tc>
        <w:tc>
          <w:tcPr>
            <w:tcW w:w="96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9"/>
              </w:rPr>
              <w:t>242</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554</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796</w:t>
            </w:r>
          </w:p>
        </w:tc>
        <w:tc>
          <w:tcPr>
            <w:tcW w:w="102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97"/>
              </w:rPr>
              <w:t>37.7%</w:t>
            </w:r>
          </w:p>
        </w:tc>
      </w:tr>
      <w:tr>
        <w:trPr>
          <w:trHeight w:val="257"/>
        </w:trPr>
        <w:tc>
          <w:tcPr>
            <w:tcW w:w="2620" w:type="dxa"/>
            <w:vAlign w:val="bottom"/>
          </w:tcPr>
          <w:p>
            <w:pPr>
              <w:ind w:left="140"/>
              <w:spacing w:after="0"/>
              <w:rPr>
                <w:sz w:val="20"/>
                <w:szCs w:val="20"/>
                <w:color w:val="auto"/>
              </w:rPr>
            </w:pPr>
            <w:r>
              <w:rPr>
                <w:rFonts w:ascii="Arial" w:cs="Arial" w:eastAsia="Arial" w:hAnsi="Arial"/>
                <w:sz w:val="18"/>
                <w:szCs w:val="18"/>
                <w:color w:val="auto"/>
              </w:rPr>
              <w:t>Hourly</w:t>
            </w:r>
          </w:p>
        </w:tc>
        <w:tc>
          <w:tcPr>
            <w:tcW w:w="960" w:type="dxa"/>
            <w:vAlign w:val="bottom"/>
          </w:tcPr>
          <w:p>
            <w:pPr>
              <w:jc w:val="center"/>
              <w:ind w:right="210"/>
              <w:spacing w:after="0"/>
              <w:rPr>
                <w:sz w:val="20"/>
                <w:szCs w:val="20"/>
                <w:color w:val="auto"/>
              </w:rPr>
            </w:pPr>
            <w:r>
              <w:rPr>
                <w:rFonts w:ascii="Arial" w:cs="Arial" w:eastAsia="Arial" w:hAnsi="Arial"/>
                <w:sz w:val="18"/>
                <w:szCs w:val="18"/>
                <w:color w:val="auto"/>
                <w:w w:val="99"/>
              </w:rPr>
              <w:t>386</w:t>
            </w:r>
          </w:p>
        </w:tc>
        <w:tc>
          <w:tcPr>
            <w:tcW w:w="120" w:type="dxa"/>
            <w:vAlign w:val="bottom"/>
          </w:tcPr>
          <w:p>
            <w:pPr>
              <w:spacing w:after="0"/>
              <w:rPr>
                <w:sz w:val="22"/>
                <w:szCs w:val="22"/>
                <w:color w:val="auto"/>
              </w:rPr>
            </w:pPr>
          </w:p>
        </w:tc>
        <w:tc>
          <w:tcPr>
            <w:tcW w:w="1020" w:type="dxa"/>
            <w:vAlign w:val="bottom"/>
          </w:tcPr>
          <w:p>
            <w:pPr>
              <w:jc w:val="center"/>
              <w:ind w:right="390"/>
              <w:spacing w:after="0"/>
              <w:rPr>
                <w:sz w:val="20"/>
                <w:szCs w:val="20"/>
                <w:color w:val="auto"/>
              </w:rPr>
            </w:pPr>
            <w:r>
              <w:rPr>
                <w:rFonts w:ascii="Arial" w:cs="Arial" w:eastAsia="Arial" w:hAnsi="Arial"/>
                <w:sz w:val="18"/>
                <w:szCs w:val="18"/>
                <w:color w:val="auto"/>
                <w:w w:val="99"/>
              </w:rPr>
              <w:t>926</w:t>
            </w:r>
          </w:p>
        </w:tc>
        <w:tc>
          <w:tcPr>
            <w:tcW w:w="760" w:type="dxa"/>
            <w:vAlign w:val="bottom"/>
            <w:gridSpan w:val="2"/>
          </w:tcPr>
          <w:p>
            <w:pPr>
              <w:jc w:val="center"/>
              <w:ind w:right="130"/>
              <w:spacing w:after="0"/>
              <w:rPr>
                <w:sz w:val="20"/>
                <w:szCs w:val="20"/>
                <w:color w:val="auto"/>
              </w:rPr>
            </w:pPr>
            <w:r>
              <w:rPr>
                <w:rFonts w:ascii="Arial" w:cs="Arial" w:eastAsia="Arial" w:hAnsi="Arial"/>
                <w:sz w:val="18"/>
                <w:szCs w:val="18"/>
                <w:color w:val="auto"/>
                <w:w w:val="99"/>
              </w:rPr>
              <w:t>2</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1,314</w:t>
            </w:r>
          </w:p>
        </w:tc>
        <w:tc>
          <w:tcPr>
            <w:tcW w:w="1020" w:type="dxa"/>
            <w:vAlign w:val="bottom"/>
          </w:tcPr>
          <w:p>
            <w:pPr>
              <w:jc w:val="center"/>
              <w:ind w:left="30"/>
              <w:spacing w:after="0"/>
              <w:rPr>
                <w:sz w:val="20"/>
                <w:szCs w:val="20"/>
                <w:color w:val="auto"/>
              </w:rPr>
            </w:pPr>
            <w:r>
              <w:rPr>
                <w:rFonts w:ascii="Arial" w:cs="Arial" w:eastAsia="Arial" w:hAnsi="Arial"/>
                <w:sz w:val="18"/>
                <w:szCs w:val="18"/>
                <w:i w:val="1"/>
                <w:iCs w:val="1"/>
                <w:color w:val="auto"/>
                <w:w w:val="97"/>
              </w:rPr>
              <w:t>62.3%</w:t>
            </w:r>
          </w:p>
        </w:tc>
      </w:tr>
      <w:tr>
        <w:trPr>
          <w:trHeight w:val="257"/>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960" w:type="dxa"/>
            <w:vAlign w:val="bottom"/>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99"/>
              </w:rPr>
              <w:t>628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right="370"/>
              <w:spacing w:after="0"/>
              <w:rPr>
                <w:sz w:val="20"/>
                <w:szCs w:val="20"/>
                <w:color w:val="auto"/>
              </w:rPr>
            </w:pPr>
            <w:r>
              <w:rPr>
                <w:rFonts w:ascii="Arial" w:cs="Arial" w:eastAsia="Arial" w:hAnsi="Arial"/>
                <w:sz w:val="18"/>
                <w:szCs w:val="18"/>
                <w:b w:val="1"/>
                <w:bCs w:val="1"/>
                <w:color w:val="auto"/>
                <w:w w:val="97"/>
              </w:rPr>
              <w:t>1,480</w:t>
            </w:r>
          </w:p>
        </w:tc>
        <w:tc>
          <w:tcPr>
            <w:tcW w:w="760" w:type="dxa"/>
            <w:vAlign w:val="bottom"/>
            <w:gridSpan w:val="2"/>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9"/>
              </w:rPr>
              <w:t>2</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2,110</w:t>
            </w:r>
          </w:p>
        </w:tc>
        <w:tc>
          <w:tcPr>
            <w:tcW w:w="1020" w:type="dxa"/>
            <w:vAlign w:val="bottom"/>
            <w:shd w:val="clear" w:color="auto" w:fill="CCEEFF"/>
          </w:tcPr>
          <w:p>
            <w:pPr>
              <w:spacing w:after="0"/>
              <w:rPr>
                <w:sz w:val="22"/>
                <w:szCs w:val="22"/>
                <w:color w:val="auto"/>
              </w:rPr>
            </w:pPr>
          </w:p>
        </w:tc>
      </w:tr>
      <w:tr>
        <w:trPr>
          <w:trHeight w:val="552"/>
        </w:trPr>
        <w:tc>
          <w:tcPr>
            <w:tcW w:w="3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2023 Ethnic Background of Employees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3"/>
        </w:trPr>
        <w:tc>
          <w:tcPr>
            <w:tcW w:w="26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18"/>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 of</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2"/>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Ethnic Background</w:t>
            </w: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8"/>
              </w:rPr>
              <w:t>Employees</w:t>
            </w:r>
          </w:p>
        </w:tc>
        <w:tc>
          <w:tcPr>
            <w:tcW w:w="100" w:type="dxa"/>
            <w:vAlign w:val="bottom"/>
            <w:tcBorders>
              <w:bottom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7"/>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White</w:t>
            </w: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2620" w:type="dxa"/>
            <w:vAlign w:val="bottom"/>
          </w:tcPr>
          <w:p>
            <w:pPr>
              <w:ind w:left="140"/>
              <w:spacing w:after="0"/>
              <w:rPr>
                <w:sz w:val="20"/>
                <w:szCs w:val="20"/>
                <w:color w:val="auto"/>
              </w:rPr>
            </w:pPr>
            <w:r>
              <w:rPr>
                <w:rFonts w:ascii="Arial" w:cs="Arial" w:eastAsia="Arial" w:hAnsi="Arial"/>
                <w:sz w:val="18"/>
                <w:szCs w:val="18"/>
                <w:color w:val="auto"/>
              </w:rPr>
              <w:t>Hispanic or Latino</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Black or African American</w:t>
            </w: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6"/>
        </w:trPr>
        <w:tc>
          <w:tcPr>
            <w:tcW w:w="2620" w:type="dxa"/>
            <w:vAlign w:val="bottom"/>
          </w:tcPr>
          <w:p>
            <w:pPr>
              <w:ind w:left="140"/>
              <w:spacing w:after="0"/>
              <w:rPr>
                <w:sz w:val="20"/>
                <w:szCs w:val="20"/>
                <w:color w:val="auto"/>
              </w:rPr>
            </w:pPr>
            <w:r>
              <w:rPr>
                <w:rFonts w:ascii="Arial" w:cs="Arial" w:eastAsia="Arial" w:hAnsi="Arial"/>
                <w:sz w:val="18"/>
                <w:szCs w:val="18"/>
                <w:color w:val="auto"/>
              </w:rPr>
              <w:t>Asian</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7"/>
              </w:rPr>
              <w:t>4.3%</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 Specified</w:t>
            </w: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3.5%</w:t>
            </w:r>
          </w:p>
        </w:tc>
        <w:tc>
          <w:tcPr>
            <w:tcW w:w="100" w:type="dxa"/>
            <w:vAlign w:val="bottom"/>
            <w:shd w:val="clear" w:color="auto" w:fill="CCEEFF"/>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2620" w:type="dxa"/>
            <w:vAlign w:val="bottom"/>
          </w:tcPr>
          <w:p>
            <w:pPr>
              <w:ind w:left="140"/>
              <w:spacing w:after="0"/>
              <w:rPr>
                <w:sz w:val="20"/>
                <w:szCs w:val="20"/>
                <w:color w:val="auto"/>
              </w:rPr>
            </w:pPr>
            <w:r>
              <w:rPr>
                <w:rFonts w:ascii="Arial" w:cs="Arial" w:eastAsia="Arial" w:hAnsi="Arial"/>
                <w:sz w:val="18"/>
                <w:szCs w:val="18"/>
                <w:color w:val="auto"/>
              </w:rPr>
              <w:t>Two or More Races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7"/>
              </w:rPr>
              <w:t>2.3%</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Hawaiian/Pacific Islander</w:t>
            </w: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0.9%</w:t>
            </w:r>
          </w:p>
        </w:tc>
        <w:tc>
          <w:tcPr>
            <w:tcW w:w="100" w:type="dxa"/>
            <w:vAlign w:val="bottom"/>
            <w:shd w:val="clear" w:color="auto" w:fill="CCEEFF"/>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1"/>
        </w:trPr>
        <w:tc>
          <w:tcPr>
            <w:tcW w:w="2620" w:type="dxa"/>
            <w:vAlign w:val="bottom"/>
          </w:tcPr>
          <w:p>
            <w:pPr>
              <w:ind w:left="140"/>
              <w:spacing w:after="0"/>
              <w:rPr>
                <w:sz w:val="20"/>
                <w:szCs w:val="20"/>
                <w:color w:val="auto"/>
              </w:rPr>
            </w:pPr>
            <w:r>
              <w:rPr>
                <w:rFonts w:ascii="Arial" w:cs="Arial" w:eastAsia="Arial" w:hAnsi="Arial"/>
                <w:sz w:val="18"/>
                <w:szCs w:val="18"/>
                <w:color w:val="auto"/>
              </w:rPr>
              <w:t>American Indian/Alaska Native</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believes in building a team that includes people who bring diversity of thought, experience, and perspective to its organization. The Company recognizes that its organization and the communities in which the Company operates will continue to evolve and grow, which will require that the Company remain focused on the following initiatives:</w:t>
      </w:r>
    </w:p>
    <w:p>
      <w:pPr>
        <w:spacing w:after="0" w:line="63" w:lineRule="exact"/>
        <w:rPr>
          <w:sz w:val="20"/>
          <w:szCs w:val="20"/>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the Company's mandatory and annual education and development program for the Company, including the Board of Directors, and evolve the curriculum as needed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map the Company's organization with the communities where it operates and strive to reflect the diversity of these communities in the Company's team</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and upgrade business systems across the Company to give the Company the capability to gather and analyze data, derive conclusions, and develop action plans for implementation</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Communicate the Company's progress through monthly business reviews with the Company's leadership teams, quarterly communications with its teams, and quarterly reviews with the Company's Board of Directors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the most effective talent acquisition framework to attract the best people and extend training and development opportunities through a combination of on-the-job experiences, peer connections as well as classroom and self-paced learning.</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proactive with the Company's customers and supply chain partners to find ways to work together in promoting positive social development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Leadership Development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2022, the Company launched a reimagined leadership development program to better equip our mid- and senior-level leaders with modern tools and tactics to best foster collaboration and success within its workforce. The basis of the program now includes multiple learning paths to meet the development needs of employees at all levels, including ethics compliance, leadership development, continuous improvement, diversity &amp; inclusion, and function-specific learning and certification programs.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Gibraltar Leadership Program ("GLP") core curriculum is a two-day program with modules on servant leadership, skilled collaboration, accountability at work, taking control of conflict, emotional intelligence, and communicating as a manager. In 2022, 194 leaders from across the business units participated in the GLP, followed by 146 leaders in 2023.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the Company maintains its commitment to ethical leadership with quarterly ethics training for all employees. It also encourages and supports employees who pursue training and development to build their functional knowledge and expertise through continuing education and certification programs related to their functional area.</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Going forward the Company has strategic initiatives in place to expand advanced trainings offered for current GLP participants. In addition, it seeks to best leverage its rising talent through future rollout of a Leadership Potential Assessment and Manager Fundamentals program. The continued deployment of the new human resources system will allow leaders at all levels from across the businesses to collaborate in a common space to share best practices and support new leaders with development coaching to continue to invest in their career growth.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Information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Copies of the Company’s Proxy Statements on Schedule 14A filed pursuant to Section 14 of the Securities Exchange Act of 1934 and Annual Reports on Form 10-K, Quarterly Reports on Form 10-Q, Current Reports on Form 8-K, and amendments to those reports filed or furnished pursuant to Section 13(a) or 15(d) of the Securities Exchange Act of 1934 are available free of charge through the Company’s website (www.gibraltar1.com) as soon as reasonably practicable after the Company electronically files the material with, or furnishes it to, the Securities and Exchange Commission.</w:t>
      </w: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i w:val="1"/>
          <w:iCs w:val="1"/>
          <w:u w:val="single" w:color="auto"/>
          <w:color w:val="auto"/>
        </w:rPr>
        <w:t>Risk Factors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business, financial condition, results of operations, and the market price for its common stock are subject to numerous risks, many of which are driven by factors that cannot be controlled or predicted. The following discussion, as well as other sections of this Annual Report on Form 10-K, including “Part II, Item 7, Management’s Discussion and Analysis of Financial Condition and Results of Operations,” describe certain business and other risks affecting the Company. In conjunction with reviewing the forward-looking statements and other information contained in this Annual Report on Form 10-K, consideration should be given to the risk factors described below as well as those in the Safe Harbor Statement at the beginning of this Annual Report on Form 10-K. These risks are not the only risks to which the Company is exposed. The Company's business operations and the market for its securities could also be adversely affected by additional factors that are not presently known to the Company, or that it currently considers to be immaterial to its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Operations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volatility of the commodity market with respect to the Company's principal raw materials and component parts, or substantial decreases in the availability of the Company's principal raw materials and component parts, has impacted, and could continue to impact, the Company's business, results of operations, and cash flows.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principal raw materials are commodity products primarily consisting of steel, aluminum, and resins. The Company also purchases component parts such as glass for greenhouse roofing systems thus resulting in exposure to changes in the price and availability of glass, and furthermore, although not purchased by the Company, the Company also has exposure related to the availability of solar modules which has impacted the installation of, and which can and has reduced demand for, the Company's solar racking projects, as experienced in 2022 and 2023. The availability and pricing of raw materials and component parts can be volatile due to a number of factors beyond the Company's control, including general economic conditions, domestic and worldwide supply and demand, labor costs and availability, competition, freight costs and transportation, import duties, tariffs, and currency exchange rates. The Company may not be successful in passing along pricing increases to its customers or in its efforts to mitigate the impact of supply chain disruptions.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failure by the Company's suppliers to deliver raw materials or component parts according to schedule, or at all, has resulted in manufacturing delays, capacity constraints, project delays, cost inflation and logistics delays and has affected, and may continue to affect the Company's ability to meet its customers' needs. Furthermore, the failure of any sourced raw materials or components to conform to the Company's specifications could also result in delays in its ability to timely deliver, and may have an adverse impact on the Company's relationships with its customers and its ability to fully realize the revenue expected from sales to those customers.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commodity price fluctuations could force the Company to adjust its prices or to offer additional services or enhanced products at a higher cost to the Company, which could reduce the Company's gross profit, net income, and cash flow and cause the Company to lose market share.</w:t>
      </w:r>
    </w:p>
    <w:p>
      <w:pPr>
        <w:spacing w:after="0" w:line="17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Macroeconomic factors outside of the Company's control may adversely affect its business, its industry, and the businesses and industries of many of its customers and suppliers.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Macroeconomic factors can have and have had a significant impact on the Company's business, customer demand and the availability of credit and other capital, affecting the Company's ability to generate profitable margins. The Company's operations are subject to the effects of domestic and international economic conditions, including global industrial production rates, inflation, deflation, interest rates, availability of capital, debt levels, consumer spending, energy availability, commodity prices, and the effects of governmental initiatives to manage economic conditions, including government monetary and trade policies, tax laws and regulations. Tariffs placed on imported products used by the Company's customers, such as solar modules, could impact cost and availability of these products to the Company's customers which could impact the demand for the Company's products or services. In addition, fluctuations in the U.S. dollar impact the prices the Company charges and costs it incurs to export and import products. The Company is unable to predict the impact on its business of changes in domestic and international economic conditions. The Company faces changing market conditions, as well as changes in domestic or global economies, or certain industry sectors of those economies that are key to the Company's sales, may further deteriorate, and could result in a corresponding decrease in demand for the Company's products and negatively impact the Company's results of operations and financial condition.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reference to aforementioned tariffs on imported solar modules, while the Company does not sell or import solar modules, the goods and services the Company provides for its customers depend upon the supply of solar modules for which such shortages have resulted in project delays over the past two years. The supply has been primarily impacted by two regulatory items: the Uyghur Forced Labor Prevention Act ("UFLPA") which was enacted in June 2022, and the circumvention of anti-dumping and countervailing duties (“AD/CVD”) investigation launched by the U.S. Department of Commerce ("USDOC") in March 2022, against eight solar module manufacturers producing in four countries in Southeast Asia.</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UFLPA requires traceability of components of imported goods to validate components are not sourced from the Xinjiang province in China. This requirement has caused delays in module availability as module manufacturers must follow a stringent importation process with the U.S. Custom and Border Protection Agency. While a few of the larger module manufacturers are experiencing more consistent success with the importation process, other module suppliers need to make further progress with UFLPA and the importation process. The UFLPA continues to create a compliance burden and constrain supply of imported solar modules, but the Company expects continual improvement of supply as more module manufacturers move forward on the learning curve.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USDOC’s AD/CVD investigation, and until the final ruling from the USDOC was announced in August 2023, projects were delayed due to the risk of retroactive tariffs being imposed on the import of solar modules produced in four countries in Southeast Asia, where Chinese manufacturers have operations. In addition, of the eight major manufacturers under investigation, five were found to have been circumventing the AD/CVD orders. In parallel to the USDOC investigation, on June 6, 2022, an emergency Presidential Proclamation was issued delaying the imposition of duties on imports from the impacted countries until June 6, 2024. This proclamation provides non-U.S. based module manufacturers time to modify and secure supply chains to ensure compliance with U.S. law. In January 2024, a motion was filed requesting that the delay in the imposition of duties per the Presidential Proclamation be removed retroactively which could adversely impact the supply of modules imported into the U.S.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the timing and progress of many of the Company's customers’ projects depend upon the supply of solar modules and components, the Company's operating results have been impacted by the disruption resulting from the above investigation and validation procedures. The Company's operating results could be further adversely impacted by any final negative circumvention determinations made by the USDOC and continued timing lag of review by U.S. customs.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success of the Company's business depends on the Company's senior management team, as well as other key employees and the Company's ability to attract, retain, develop and motivate a skilled and diverse workforce.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success is dependent on the management and leadership skills of its senior executive and divisional management teams. The Company cannot provide assurance that the Company will be able to retain its existing senior management personnel, or that the Company will have a successor prepared and available upon any loss of such personnel, or that the Company will be able to attract additional qualified personnel through external recruitment when needed. The Company has not entered into employment agreements with any of its senior management personnel.</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Company may not be able to successfully compete for, attract, retain, develop or motivate a skilled and diverse workforce that the Company's business may require. The Company's business is dependent on engineers and other technical personnel to execute a variety of key responsibilities which include, but are not limited to, the identification and implementation of improvements to the Company's manufacturing process, redesign of the Company's products for better performance, the development of new products, and the identification and execution of cost reduction activities. Also, technical service personnel work in conjunction with the Company's sales force in the new product development process to determine the types of products and services that suit the particular needs of the Company's customers. Furthermore, the Company's business may be adversely impacted by the availability of labor at its manufacturing and distribution facilities, or in the field at its customers' project sites.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unexpected loss of a member of the Company's senior management team, key employee or highly-skilled associate, including due to an increase in aggressive recruiting for talent in the current labor market, or the Company's inability to attract and retain additional personnel could deplete the Company's institutional knowledge base, erode the Company's competitiveness and prevent the Company from successfully executing its business strategy.</w:t>
      </w:r>
    </w:p>
    <w:p>
      <w:pPr>
        <w:spacing w:after="0" w:line="17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A significant portion of the Company's net sales are concentrated with a few customers. The loss of any of those customers would adversely affect the Company's business, results of operations, and cash flows.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loss of sales from the Company's significant customers, whether due to a decrease in demand from the end markets the Company serves, the loss or bankruptcy of any significant customer, a decrease in the prices that the Company can realize from sales of its products to its significant customers, or a significant decrease in business from any of the Company's significant customers, could have an adverse effect on the Company's business, results of operations and cash flows. The Company's ten largest customers accounted for approximately 37%, 41%, and 38% of the Company's net sales during 2023, 2022, and 2021, respectively, with its largest customer accounting for approximately 13%, 14% and 13% of the Company's consolidated net sales during each of the years 2023, 2022, and 2021, respectively.</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Company's business is highly competitive and increased competition could reduce the Company's revenue, gross profit, net income, and cash flows.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markets that the Company serves are highly competitive. Competition is based primarily on product functionality, quality, price, raw material and inventory availability, as well as the ability to meet delivery schedules dictated by customers. Additionally, the principal markets the Company participates in are characterized by changing technologies and new products and services, thus the Company also faces competition from the introduction of new products and services or technologies by competitors. The Company competes in its principal markets with companies of various sizes, some of which have greater scale, access to capital and other resources than the Company, as well as may have more established brand names and may be better able to withstand a change in conditions in the principal markets the Company serves. Increased competition could force the Company to lower its prices or to offer additional services or enhanced products at a higher cost to the Company, which could reduce the Company's gross profit, net income, and cash flow, and could cause the Company to lose market share. Further, if the Company does not have sufficient resources to invest or is otherwise unable to correctly identify customer needs and preferences, innovate and drive improvements or efficiencies in existing products, develop new products, technologies or services in the markets the Company participates in, or successfully commercialize its innovation efforts, the Company may lose market share. Even when the Company successfully innovates and develops new and enhanced products and services, the Company often incurs substantial costs in doing so, and the Company's revenue, gross profit, net income and cash flows may be impacted.</w:t>
      </w:r>
    </w:p>
    <w:p>
      <w:pPr>
        <w:spacing w:after="0" w:line="18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the subcontractors the Company relies upon do not perform their contractual obligations, the Company's business, results of operations and cash flows would be adversely affected.</w:t>
      </w:r>
    </w:p>
    <w:p>
      <w:pPr>
        <w:spacing w:after="0" w:line="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Some of the Company's construction contracts with customers involve subcontracts with other companies that perform a portion of the services or provide systems that are integral to the end product that the Company provides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its customers. The Company depends on the quality and timeliness of work performed by its subcontractors. There is a risk the subcontractors may not perform their contractual obligations, which may subject the Company to customer concerns or disputes. Any such disputes or concerns could materially and adversely impact the Company's ability to perform the Company's obligations as the prime contractor.</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Company's operations are subject to seasonal fluctuations and the cyclical nature of construction activity that may affect the Company's cash flows.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net sales are generally lowest in the first quarter primarily as a result of reduced activity in the construction industry due to inclement weather. Therefore, the Company's cash flows from operations may vary from quarter to quarter. Furthermore, construction activity has historically been cyclical and dependent on economic conditions, including interest rates, availability of financing, inflation, employment, spending habits, consumer confidence and other factors outside the Company's control. Residential and commercial construction is also affected by the cost and availability of skilled labor, which could impact both the cost and pace of construction activity, as well as the construction methods used, all of which could adversely affect demand for the Company's products. If the Company's cash flows were significantly reduced due to seasonal fluctuations or reduced construction activity, the Company may not be able to service its indebtedness or maintain covenant compliance.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Company's ongoing and expected restructuring plans and other cost savings initiatives may not be as effective as the Company anticipates, and the Company may fail to realize the cost savings and increased efficiencies that the Company expects to result from these actions, which could negatively affect the Company's business, results of operations and financial condition.</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continually strives to simplify or improve processes, eliminate excess capacity and reduce costs in all areas of its operations, which from time to time includes restructuring and integration activities. The Company has implemented significant restructuring and integration activities across its manufacturing, sales and distribution footprint, which include workforce reductions and facility consolidations. Costs of future initiatives may be material and the savings associated with them are subject to a variety of risks, including the Company's inability to effectively eliminate duplicative back-office overhead, overlapping sales personnel, rationalize manufacturing capacity, synchronize information technology systems, consolidate warehousing and distribution facilities and shift production to more economical facilities. As a result, the contemplated costs to effect these initiatives may materially exceed estimates. The initiatives the Company is contemplating may require consultation with various employees and consultants which may influence the timing, costs and extent of expected savings and may result in the loss of skilled employees in connection with the initiatives.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Company is unable to implement its cost savings initiatives as timely and/or effectively as planned, the Company's business may be adversely affected by the negative impact on the Company's ability to continue to meet customer demand, maintain a high level of quality throughout the execution of the plans, and achieve the anticipated financial benefits of such plans. This may result in a material adverse effect on the Company's business, results of operations and financial condition.</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Economic, political, and other risks associated with foreign operations could adversely affect the Company's results of operations and cash flows.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a significant majority of the Company's business activity takes place in the United States, the Company derives a portion of its revenues and earnings from operations in Canada, and is subject to risks associated with doing business internationally. The Company's sales originating outside the United States represented approximately 3% of the Company's consolidated net sales during the year ended December 31, 2023. The Company believes that its business activities outside of the United States involve a higher degree of risk than the Company's domestic activities, such as the possibility of unfavorable circumstances arising from host country laws or regulations, changes in tariff and trade barriers and import or export licensing requirements and exposes the Company to currency exchange rate fluctuations between the United States Dollar and foreign currencies. In addition, any local or global health issue or uncertain political climates, international hostilities, natural disasters, or any terrorist activities could adversely affect customer demand, the Company's operations and the Company's ability to source and deliver products and services to the Company's customers.</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Climate change and climate change legislation or regulations may adversely affect the Company's business and results of operations.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Legislative and regulatory changes in response to the potential effects of climate change may require additional costs and investment for compliance, including an increase in the Company's capital expenditures to reduce the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Company's greenhouse gas emissions and increased cost of purchased energy for both the Company and its suppliers, which may increase the Company's costs to procure raw materials, components or equipment parts. As climate change continues to increase the severity of weather, physical effects—such as damage to facilities, capital equipment and inventory or disruption in production, product distribution or field operations as a result of heat, drought, wildfires, major storm events and shifts in regional weather patterns and intensities—may also significantly affect the Company's business and financial results. Concerns over global climate change and environmental sustainability over time, including due to expectations of the Company's stockholders, customers and employees, may influence the Company's strategic direction, supply chain, or delivery channels.</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terror attacks, war, natural disasters or other catastrophic events beyond the Company's control could negatively impact the Company's business, results of operations, and cash flows.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Terror attacks, war, or other civil disturbances, natural or man-made disasters (which may become more frequent due to climate change), other catastrophic events or public health crises could cause catastrophic loss or other material damage to the Company's facilities or lead to economic instability, decreased capacity to produce the Company's products and decreased demand for the Company's products. The Company has experienced operating disruptions related to severe weather across the U.S. From time to time, terrorist attacks worldwide have caused instability in global financial markets. The Company continues to monitor the ongoing conflict between Russia and Ukraine, as well as other conflicts, including between Israel and Hamas and in the Red Sea, for any potential disruptions to the Company's operations. The Company could incur uninsured losses and liabilities arising from such events, and any resulting business interruptions could have an adverse effect on the Company's business,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w:t>
      </w:r>
    </w:p>
    <w:p>
      <w:pPr>
        <w:spacing w:after="0" w:line="22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Company's business and financial performance may be adversely affected by cybersecurity attacks, information systems interruptions, equipment failures, and technology integration.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relies on information technology ("IT") systems, some of which are provided and/or managed by third-parties, to process, transmit and store electronic information, including sensitive data such as confidential business information and personally identifiable data relating to the Company's employees, customers and other business partners, and to manage or support a variety of critical business processes and activities, such as receiving and fulfilling orders, billing, collecting and making payments, shipping products, providing services and support to customers, and fulfilling contractual obligations. The Company's ability to effectively manage its business depends on the security, reliability, and capacity of these IT systems. These systems, including those the Company acquires through business acquisitions can be damaged, disrupted or shut down due to attacks by computer hackers, computer viruses, ransomware, human error or malfeasance, power outages, hardware failures, telecommunication or utility failures, catastrophes, or other unforeseen events. While, the Company maintains IT measures designed to protect the Company against intellectual property theft, data breaches, sabotage and other external or internal cyber-attacks or misappropriation, cyber-attacks are increasingly difficult to identify and prevent, and it is possible that potential vulnerabilities could go undetected for an extended period. The Company's systems are not fully redundant and the Company's disaster recovery planning may not be sufficient. Any interruptions to the Company's IT systems could disrupt the Company's operations, causing delays or cancellation of customer orders or impeding the manufacture or shipment of products, processing of transactions or reporting of financial results. Security breaches can result in the misappropriation, destruction or unauthorized disclosure of confidential information or personal data belonging to the Company or to the Company's employees, partners, customers, or suppliers. Furthermore, security breaches could damage customer, business partner and employee relationships and the Company's reputation and result in legal claims and proceedings, liability and penalties under data protection laws and regulations. Some of the Company's IT systems have experienced past security breaches, although they did not have a material adverse effect on the Company's operating results. There can be no assurance that future incidents will not have material adverse effects on the Company's operations or financial results.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Company's IT systems require an ongoing commitment of significant resources to maintain and enhance existing systems and develop new systems to keep pace with continuing changes in information processing technology, evolving legal and regulatory standards and customer expectations, changes in the techniques used to obtain unauthorized access to data and information systems, and the IT needs associated with the Company's changing products and services. In addition, the Company is subject to data privacy and security laws, regulations, and customer-imposed controls in a number of jurisdictions as a result of having access to and processing confidential, personal and/or sensitive data in the course of the Company's business. Compliance with</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varying data privacy regulations across the United States and around the world has required and will continue to require significant expenditures. Further, there is increasing regulation regarding responses to cybersecurity incidents, including reporting to regulators, which could subject us to additional liability and reputational harm. There can be no assurance that the Company will be able to successfully maintain, enhance and upgrade the Company's IT systems as necessary to effectively address changing cybersecurity risks and legal requirements, and the Company's efforts to do so may be affect the Company's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Company's strategy depends, in part, on identification, management and successful business and system integration of future acquisitions.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Historically, the Company has grown through a combination of internal growth plus external expansion through acquisitions. The Company intends to continue to seek additional acquisition opportunities in accordance with the Company's business strategy. However, the Company cannot provide any assurance that the following risks involved in completing acquisitions will not occur nor adversely impact the Company's operations and financial results:</w:t>
      </w:r>
    </w:p>
    <w:p>
      <w:pPr>
        <w:spacing w:after="0" w:line="14" w:lineRule="exact"/>
        <w:rPr>
          <w:sz w:val="20"/>
          <w:szCs w:val="20"/>
          <w:color w:val="auto"/>
        </w:rPr>
      </w:pPr>
    </w:p>
    <w:p>
      <w:pPr>
        <w:ind w:left="66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identify appropriate acquisition candidates, or, if the Company does, failure to successfully negotiate the terms of an acquisition;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senior management’s attention from existing business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integrate any acquisition into the Company's operations successfully;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obligations, loss of key customers, suppliers, and employees of the acquired businesses, or loss of existing customers and suppliers;</w:t>
      </w:r>
    </w:p>
    <w:p>
      <w:pPr>
        <w:jc w:val="both"/>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or delays in integrating and assimilating information and systems that may require significant unforeseen upgrades or replacement of the Company's primary IT systems across significant parts of the Company's business and operations, which could lead to interruptions of information flow internally and to the Company's customers and suppliers;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raise additional funds through additional equity or debt financing, which could be dilutive to stockholder value, increase the Company's interest expense and reduce the Company's cash flows and available funds; and</w:t>
      </w:r>
    </w:p>
    <w:p>
      <w:pPr>
        <w:ind w:left="66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impact on overall profitability if the acquired business does not achieve the return on investment projected at the time of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Financing and Accounting Matters</w:t>
      </w:r>
    </w:p>
    <w:p>
      <w:pPr>
        <w:spacing w:after="0" w:line="22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Company applies judgments and makes estimates in accounting for certain customer contracts, and changes in these judgments or estimates may have significant impacts on the Company's earnings.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Changes in judgments or required estimates and any subsequent adjustments to those judgments or estimates, such as performance incentives, penalties, contract claims and contract modifications, could have a material effect on the Company's sales and profits. Due to the substantial judgments applied and estimations involved with the Company's accounting for customer contracts, the Company's actual results could differ materially or could be settled unfavorably from the Company's estimates. Revenue representing 35%, 40% and 47% of 2023, 2022 and 2021 of the Company's consolidated net sales, respectively, were recognized over time under the cost-to-cost method. Refer to “Critical Accounting Estimates” within Item 7 of this Annual Report on Form 10-K for more detail of how the Company's financial statements can be affected by accounting for revenue from contracts with customers.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Increases in future levels of leverage and size of debt service obligations could adversely affect the Company's ability to raise additional capital to fund the Company's operations, limit the Company's ability to react to changes in the economy or the Company's industries and prevent the Company from meeting the Company's obligations.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2023, the Company had no outstanding indebtedness, but has $396.1 million available for borrowing under its revolving credit facility. The Company's ability to make scheduled payments on, or refinance, its future debt obligations depend on the Company's financial condition and operating performance, which are subject to prevailing economic, industry and competitive conditions and to certain financial, business, legislative, regulatory and other factors beyond the Company's control. The Company may need to incur additional debt in the future to fund strategic acquisitions, investments or for other purposes, which debt could have significant adverse consequences to the Company's business. Any sustained weakness in general economic conditions and/or U.S. or global capital markets could adversely affect the Company’s ability to raise capital on favorable terms or at all.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Company’s access to funds under its credit facility is dependent on the ability of the financial institutions that are parties to that facility to meet their funding commitments. Those financial institutions may not be able to meet their funding commitments if they experience shortages of capital and liquidity or if they experience excessive volumes of borrowing requests within a short period of time. Longer term volatility and continued disruptions in the capital and credit markets as a result of uncertainty, changing or increased regulation of financial institutions, reduced alternatives or failures of significant financial institutions could adversely affect the Company’s access to the liquidity needed for its businesses in the longer term. Such disruptions could require the Company to take measures to conserve cash until the markets stabilize or until alternative credit arrangements or other funding for its business needs can be arranged. The Company's Credit Agreement entered into on December 8, 2022, contains several financial and other restrictive covenants. A significant decline in the Company's operating income or use of the Company's Credit Agreement (or other additional indebtedness) for acquisitions, operations and capital expenditures could cause the Company to violate these covenants which could result in the Company incurring additional financing fees that would be costly and adversely affect the Company's profitability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Imposed tariffs and potential future tariffs may result in increased costs and could adversely affect the Company's results of operations.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Tariffs imposed in the United States on certain steel and aluminum products imported into the U.S. have created volatility in the market and have increased the costs of these inputs. Increased costs for imported steel and aluminum products have led domestic sellers to respond with market-based increases to prices for such inputs as well. These tariffs, along with any additional tariffs or trade restrictions that may be implemented by the U.S. or other countries, could result in further increased costs, shifting in competitive positions and a decreased available supply of steel, resins and aluminum as well as additional imported components and inputs. The Company may not be able to pass price increases on to its customers and may not be able to secure adequate alternative sources of steel, resins and aluminum on a timely basis. While retaliatory tariffs imposed by other countries on U.S. goods have not yet had a significant impact, the Company cannot predict further developments. The tariffs could adversely affect the Company's income from operations for some of the Company's businesses and customer demand for some of the Company's products which could have a material adverse effect on the Company's results of operations, financial position and cash flows.</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expiration, elimination or reduction of solar rebates, credits and incentives may adversely impact the Company's business, results of operations, and cash flows.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variety of federal, state and local government agencies provide incentives to promote electricity generation from renewable sources such as solar power. These incentives are in the form of rebates, tax credits and other financial incentives which help to motivate end users, distributors, system integrators and others to install solar powered generating systems. Any changes to reduce, shorten or eliminate the scope and availability of these incentive programs could materially and adversely impact the demand for the Company's related products, and the Company's financial condition and results of operations.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timing and progress of many of the Company's renewable energy customers’ projects are impacted by incentives provided by the Federal solar tax credit also known as Investment Tax Credits ("ITC"). The Inflation Reduction Act ("IRA") signed into law on August 16, 2022, among other things, provides for a variety of enhanced ITC and Production Tax Credits for renewable energy systems subject to specific dates and requirements. Demand for the Company's products could be adversely impacted if the Company does not meet the above standards in order to enable its customer to obtain the full enhanced tax credits.</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nature of the Company's business exposes the Company to product liability, product warranty and other claims, and other legal proceedings and could adversely affect the Company's business, financial condition, results of operations, and cash flows.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party in product liability, product warranty and other claims relating to the products the Company manufactured and distributed. Although the Company currently maintains what the Company believes to be suitable and adequate insurance in excess of the Company's self-insured amounts for product liability and other claims, there can be no assurance that the Company will be able to maintain such insurance on acceptable terms or that such insurance will provide adequate protection against potential liabilities. Product liability claims could be expensive to defend and could divert the attention of the Company's management and other personnel for significant periods of time, regardless of the ultimate outcome. Claims of this nature could also have a negative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impact on customer confidence in the Company's products, the Company's brands and the Company. In the ordinary course of business, the Company is also subject to other types of legal and regulatory proceedings. Any claims raised in legal and regulatory proceedings, whether with or without merit, could be time consuming and expensive to defend and could divert the Company's management attention and resources. The Company cannot assure you that any current or future claims will not adversely affect the Company's reputation, financial condition, operating results, and cash flows.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Company could incur substantial costs in order to comply with, or to address any changes in or violations of, environmental, health, safety and other laws that could adversely affect the Company's business, financial condition, results of operations, and cash flows.</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operations and facilities are subject to a variety of stringent federal, state, local, and foreign laws and regulations, including those relating to the protection of the environment and human health and safety. Compliance with these laws and regulations sometimes involves substantial operating costs and capital expenditures. Failure to maintain or achieve compliance with these laws and regulations or with the permits required for the Company's operations could result in substantial costs and liabilities, such as fines and civil or criminal sanctions, third-party claims for property damage or personal injury, cleanup costs or temporary or permanent discontinuance of operations, including claims arising from the businesses and facilities that the Company has sold. The Company is subject to the risk that the Company, its employees, its affiliated entities, its contractors, its agents or their respective officers, directors, employees and agents may take actions determined to be in violation of any of these laws, for which the Company might be held responsible, particularly as the Company expands its operations geographically through organic growth and acquisitions. The Company cannot provide assurance that the Company's internal controls and compliance systems, including the Company's Code of Ethics and Statement of Policy, will protect the Company from acts committed by the Company's employees, agents or business partners that violate U.S. and/or non-U.S. laws, including the laws governing payments to government officials, bribery, fraud, kickbacks and false claims, pricing, sales and marketing practices, conflicts of interest, competition, employment practices, workplace behavior, export and import compliance, economic and trade sanctions, money laundering and data privacy. An actual or alleged violation could result in substantial fines, sanctions, civil or criminal penalties, debarment from government contracts, curtailment of operations in certain jurisdictions, competitive or reputational harm, litigation or regulatory action and other consequences that might adversely affect the Company's results of operations, financial condition or strategic objectives. For certain businesses the Company has divested, the Company has provided limited indemnifications for environmental contamination to the successor owners. The Company has also acquired and expects to continue to acquire businesses and facilities to add to the Company's operations. While the Company sometimes receives indemnification for pre-existing environmental contamination, the party providing the indemnification may not have sufficient resources to cover the cost of any required measures. Certain facilities of the Company have been in operation for many years and the Company may be liable for remediation of any contamination at the Company's current or former facilities; or at off-site locations where waste has been sent for disposal, regardless of fault or whether the Company, its predecessors or others are responsible for such contamination. The Company has been responsible for remediation of contamination at some of the Company's locations, and while such costs have not been material to date, the cost of remediation of any of these and any newly-discovered contamination cannot be quantified, and the Company cannot assure you that it will not materially affect the Company's profits or cash flows. Changes in laws, regulations or enforcement policies, including without limitation new or additional regulations affecting disposal of hazardous substances and waste, greenhouse gas emissions or use of fossil fuels, could have a material adverse effect on the Company's business, financial condition, or results of operations.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Company is subject to certain additional regulations as a United States government contractor or subcontractor and the Company's business, results of operations and cash flows could be adversely affected if the Company does not comply with these certain additional regulations.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the Company's revenue is derived from contracts with agencies of the United States government and subcontracts with its prime contractors. As a United States government contractor or subcontractor, the Company is subject to federal contracting regulations, including the Federal Acquisition Regulations, which govern the allowability of costs incurred by the Company in the performance of United States government contracts. In connection with the Company's United States government business, the Company is also subject to government audits and to review and approval of the Company's policies, procedures, and internal controls for compliance with procurement regulations and applicable laws. In certain circumstances, if the Company does not comply with the terms of a government contract or with regulations or statutes, the Company could be subject to downward contract price adjustments or refund obligations or could in extreme circumstances be assessed civil and criminal penalties or be debarred or suspended from obtaining future contracts for a specified period of time.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1C.</w:t>
      </w:r>
      <w:r>
        <w:rPr>
          <w:sz w:val="20"/>
          <w:szCs w:val="20"/>
          <w:color w:val="auto"/>
        </w:rPr>
        <w:tab/>
      </w:r>
      <w:r>
        <w:rPr>
          <w:rFonts w:ascii="Arial" w:cs="Arial" w:eastAsia="Arial" w:hAnsi="Arial"/>
          <w:sz w:val="17"/>
          <w:szCs w:val="17"/>
          <w:b w:val="1"/>
          <w:bCs w:val="1"/>
          <w:i w:val="1"/>
          <w:iCs w:val="1"/>
          <w:u w:val="single" w:color="auto"/>
          <w:color w:val="auto"/>
        </w:rPr>
        <w:t>Cybersecurity</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Securing the Company's IT systems is integral and foundational to its everyday operations. The mission of the Company's cybersecurity team is to focus on defining and deploying its information security strategy, sustaining a robust employee cyber awareness and training program, executing security engineering, providing continuous monitoring of its operations, responding and coordinating the response and investigation of cyber threats, building and testing its disaster recovery plans in support of its businesses’ continuity plan requirements, and developing its cyber and information security policies. The Company employs a dedicated cybersecurity team led by its head of information and cybersecurity who reports directly to the Company's Chief Digital Information Officer. Combined, the Company's cybersecurity team has nearly four decades of security and technology operations expertise along with numerous security certifications.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cybersecurity strategy is based on recognized best practices, standards, and frameworks for cybersecurity and information technology, including the Center for Information Security ("CIS") Controls and National Institute of Standards and Technology ("NIST"). The strategy focuses on implementing technologies, controls, and processes to constantly monitor, identify, assess, and manage cybersecurity risks. The Company also has a cybersecurity incident response plan that is designed to provide a framework across all functions for a coordinated identification and response to security incidents.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Beyond technologies, processes, and controls, the Company's cybersecurity program also includes exercises designed to sustain a high level of awareness and readiness across its employee base of the risks that threat actors pose to the Company. Whether it is through the Company's monthly company-wide cyber training; its frequent in-house phishing exercises, regular tabletop exercises with the Company's Board of Directors, management, and employees; or its annual cyber business continuity planning sessions, the Company strives to provide education so its employees can be a positive force in the protection of the Company's systems.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engages leading cybersecurity firms to assist with its security engineering and operations; provide independent evaluations of its security posture through regular assessment, penetration testing, or ethical hacking; and to audit and provide advice on how to make its security operations and controls more effective.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the Company utilizes third-party service providers to perform a variety of functions to assist in operating the business. The cybersecurity risks associated with the use of certain providers are covered under a vendor management process. Depending on the nature of the services provided, the sensitivity and/or quantity of information processed, the vendor management process may include reviewing cybersecurity practices of these providers, contractually imposing obligations on the provider, inspecting independently audited reports, and/or conducting its own security assessments of their services.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Board of Directors has ultimate oversight of the Company’s cybersecurity risk. Senior leadership, including the Chief Digital Information Officer, updates the Board of Directors on the Company's cybersecurity and information security posture at least quarterly at the Company’s board meetings, or more frequently as determined to be necessary or advisable. These updates include a review of cybersecurity incidents determined to have a moderate to high business impact, even if immaterial to the Company as a whole. The Audit and Risk Committee has responsibility for assisting the Board in the review and oversight of risks affecting the Company, and oversees the enterprise risk management process, which includes, with the assistance of internal audit, assessing the Company’s exposure to cybersecurity risk and the effectiveness of the Company’s processes and controls to address and respond to those risks. Management is responsible for hiring appropriate personnel, integrating cybersecurity considerations into the company’s overall risk management strategy, and for communicating key priorities to employees, as well as for approving budgets, helping prepare for cybersecurity incidents, approving cybersecurity processes, and reviewing security assessments and other security-related reports.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Notwithstanding the focus and emphasis on cybersecurity, the Company has experienced and will continue to experience cybersecurity incidents. While prior incidents have not had a material effect on the Company's business,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can be no guarantee that the Company will not experience a future incident that does have a material effect on its business. See "Risk Factors - Risks Related to Information Technology - The Company's business and financial performance may be adversely affected by cybersecurity attacks, information systems interruptions, equipment failures, and technology integration" for more information on the Company's cybersecurity risks.</w:t>
      </w:r>
    </w:p>
    <w:p>
      <w:pPr>
        <w:spacing w:after="0" w:line="32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1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leases its principal executive office and corporate headquarters in Buffalo, New York. The number, type, location and classification of the properties used by the Company's operations by segment and corporate as of December 31, 2023,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Number and Type of Properties</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0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Plant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rPr>
              <w:t>Distribution</w:t>
            </w:r>
          </w:p>
        </w:tc>
        <w:tc>
          <w:tcPr>
            <w:tcW w:w="154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Office</w:t>
            </w:r>
          </w:p>
        </w:tc>
        <w:tc>
          <w:tcPr>
            <w:tcW w:w="14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Renewables</w:t>
            </w:r>
          </w:p>
        </w:tc>
        <w:tc>
          <w:tcPr>
            <w:tcW w:w="10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Center</w:t>
            </w:r>
          </w:p>
        </w:tc>
        <w:tc>
          <w:tcPr>
            <w:tcW w:w="1540" w:type="dxa"/>
            <w:vAlign w:val="bottom"/>
            <w:gridSpan w:val="2"/>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Agtech</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6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Location of Properties</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Classification of Properties</w:t>
            </w:r>
          </w:p>
        </w:tc>
        <w:tc>
          <w:tcPr>
            <w:tcW w:w="0" w:type="dxa"/>
            <w:vAlign w:val="bottom"/>
          </w:tcPr>
          <w:p>
            <w:pPr>
              <w:spacing w:after="0"/>
              <w:rPr>
                <w:sz w:val="1"/>
                <w:szCs w:val="1"/>
                <w:color w:val="auto"/>
              </w:rPr>
            </w:pPr>
          </w:p>
        </w:tc>
      </w:tr>
      <w:tr>
        <w:trPr>
          <w:trHeight w:val="223"/>
        </w:trPr>
        <w:tc>
          <w:tcPr>
            <w:tcW w:w="5080" w:type="dxa"/>
            <w:vAlign w:val="bottom"/>
            <w:vMerge w:val="restart"/>
          </w:tcPr>
          <w:p>
            <w:pPr>
              <w:ind w:left="20"/>
              <w:spacing w:after="0"/>
              <w:rPr>
                <w:sz w:val="20"/>
                <w:szCs w:val="20"/>
                <w:color w:val="auto"/>
              </w:rPr>
            </w:pPr>
            <w:r>
              <w:rPr>
                <w:rFonts w:ascii="Arial" w:cs="Arial" w:eastAsia="Arial" w:hAnsi="Arial"/>
                <w:sz w:val="18"/>
                <w:szCs w:val="18"/>
                <w:color w:val="auto"/>
              </w:rPr>
              <w:t>Renewables</w:t>
            </w:r>
          </w:p>
        </w:tc>
        <w:tc>
          <w:tcPr>
            <w:tcW w:w="1160" w:type="dxa"/>
            <w:vAlign w:val="bottom"/>
          </w:tcPr>
          <w:p>
            <w:pPr>
              <w:ind w:left="320"/>
              <w:spacing w:after="0"/>
              <w:rPr>
                <w:sz w:val="20"/>
                <w:szCs w:val="20"/>
                <w:color w:val="auto"/>
              </w:rPr>
            </w:pPr>
            <w:r>
              <w:rPr>
                <w:rFonts w:ascii="Arial" w:cs="Arial" w:eastAsia="Arial" w:hAnsi="Arial"/>
                <w:sz w:val="18"/>
                <w:szCs w:val="18"/>
                <w:b w:val="1"/>
                <w:bCs w:val="1"/>
                <w:color w:val="auto"/>
              </w:rPr>
              <w:t>Domestic</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ind w:left="380"/>
              <w:spacing w:after="0"/>
              <w:rPr>
                <w:sz w:val="20"/>
                <w:szCs w:val="20"/>
                <w:color w:val="auto"/>
              </w:rPr>
            </w:pPr>
            <w:r>
              <w:rPr>
                <w:rFonts w:ascii="Arial" w:cs="Arial" w:eastAsia="Arial" w:hAnsi="Arial"/>
                <w:sz w:val="18"/>
                <w:szCs w:val="18"/>
                <w:b w:val="1"/>
                <w:bCs w:val="1"/>
                <w:color w:val="auto"/>
              </w:rPr>
              <w:t>Foreign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Owned</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Leased</w:t>
            </w: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Agtech</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believes that its properties are effectively utilized, well maintained, in good condition, and will be able to accommodate the Company's capacity needs to meet current levels of demand. In addition, the Company believes that its properties are located to optimize customer service, market requirements, distribution capability and freight costs.</w:t>
      </w:r>
    </w:p>
    <w:p>
      <w:pPr>
        <w:spacing w:after="0" w:line="319"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i w:val="1"/>
          <w:iCs w:val="1"/>
          <w:u w:val="single" w:color="auto"/>
          <w:color w:val="auto"/>
        </w:rPr>
        <w:t>Legal Proceedings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has been and may in the future become involved in litigation, as well as other legal proceedings in the ordinary course of the Company's business. The Company maintains liability insurance against risks arising out of the normal course of business. While the outcome of these legal proceedings cannot be predicted with certainty, the Company's management, based on currently available facts, does not believe that the ultimate outcome of any pending litigation will have a material effect on the Company's consolidated financial condition, results of operations, or liquidity.</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19 to the Company's consolidated financial statements in Part II, Item 8, Financial Statements and Supplementary Data, of this Annual Report on Form 10-K for further information.</w:t>
      </w:r>
    </w:p>
    <w:p>
      <w:pPr>
        <w:spacing w:after="0" w:line="30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i w:val="1"/>
          <w:iCs w:val="1"/>
          <w:u w:val="single" w:color="auto"/>
          <w:color w:val="auto"/>
        </w:rPr>
        <w:t>Mine Safety Disclosures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15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7"/>
          <w:szCs w:val="17"/>
          <w:b w:val="1"/>
          <w:bCs w:val="1"/>
          <w:i w:val="1"/>
          <w:iCs w:val="1"/>
          <w:u w:val="single" w:color="auto"/>
          <w:color w:val="auto"/>
        </w:rPr>
        <w:t>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traded on the NASDAQ Global Select Market (“NASDAQ”) under the symbol “ROCK.”</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February 20, 2024, there were approximately 29 shareholders of record of the Company’s common stock. However, the Company believes that it has a significantly higher number of beneficial owners because of the number of shares that are held through banks, brokers, and other financial institutions.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did not declare any cash dividends during the years ended December 31, 2023 and 2022 and does not expect to pay any in the foreseeable future. The Company intends to use cash generated by operations to reinvest in the businesses, fund acquisitions and to repurchase stock. The Company's disclosure in Note 9 of the Company’s audited consolidated financial statements included in Item 8 of this Annual Report on Form 10-K provide additional information regarding restrictions on potential capital distributions.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2022, the Company's Board of Directors authorized a share repurchase program of up to $200 million of the Company's issued and outstanding common stock. The program was publicly announced on May 4, 2022 and has a duration of three years, ending May 2, 2025. Repurchases may be made, from time to time, in amounts and at prices the Company deems appropriate, subject to market conditions, applicable legal requirements, debt covenants and other considerations. Any such repurchases may be executed using open market purchases, privately negotiated agreements or other transactions. The repurchase program may be suspended or discontinued at any time at the Company's discretion.</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did not purchase shares during the quarter ended December 31, 2023 and the dollar value of shares that may yet be purchased under the program was $88,943,472.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sell unregistered equity securities during the period covered by this report.</w:t>
      </w:r>
    </w:p>
    <w:p>
      <w:pPr>
        <w:spacing w:after="0" w:line="37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7"/>
          <w:szCs w:val="17"/>
          <w:b w:val="1"/>
          <w:bCs w:val="1"/>
          <w:i w:val="1"/>
          <w:iCs w:val="1"/>
          <w:u w:val="single" w:color="auto"/>
          <w:color w:val="auto"/>
        </w:rPr>
        <w:t>[Reserved]</w:t>
      </w:r>
    </w:p>
    <w:p>
      <w:pPr>
        <w:spacing w:after="0" w:line="37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following Management’s Discussion and Analysis of Financial Condition and Results of Operations should be read in conjunction with the Company’s risk factors and its consolidated financial statements and notes thereto included in Item 1A and Item 8, respectively, of this Annual Report on Form 10-K. Certain information set forth in this Item 7 constitutes “forward-looking statements” as that term is used in the Private Securities Litigation Reform Act of 1995. Such forward-looking statements are based, in whole or in part, on management’s beliefs, estimates, assumptions, and currently available information. For a more detailed discussion of what constitutes a forward-looking statement and of some of the factors that could cause actual results to differ materially from such forward-looking statements, please refer to the “Safe Harbor Statement” on </w:t>
      </w:r>
      <w:r>
        <w:rPr>
          <w:rFonts w:ascii="Arial" w:cs="Arial" w:eastAsia="Arial" w:hAnsi="Arial"/>
          <w:sz w:val="18"/>
          <w:szCs w:val="18"/>
          <w:u w:val="single" w:color="auto"/>
          <w:color w:val="0000FF"/>
        </w:rPr>
        <w:t>page 3</w:t>
      </w:r>
      <w:r>
        <w:rPr>
          <w:rFonts w:ascii="Arial" w:cs="Arial" w:eastAsia="Arial" w:hAnsi="Arial"/>
          <w:sz w:val="18"/>
          <w:szCs w:val="18"/>
          <w:color w:val="auto"/>
        </w:rPr>
        <w:t xml:space="preserve"> of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 leading manufacturer and provider of products and services for the renewable energy, residential, agtech, and infrastructure markets.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and reports its results in the following four reporting segments:</w:t>
      </w:r>
    </w:p>
    <w:p>
      <w:pPr>
        <w:spacing w:after="0" w:line="2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Renewables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Residential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Agtech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Infrastructure</w:t>
      </w:r>
    </w:p>
    <w:p>
      <w:pPr>
        <w:spacing w:after="0" w:line="20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serves customers primarily in North America including renewable energy (solar) developers, institutional and commercial growers of fruits, vegetables, flowers and other plants, home improvement retailers,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wholesalers, distributors, and contractors. The Company's operational infrastructure provides the necessary scale to support local, regional, and national customers in each of its markets.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Demand for products and services in the segments and end markets the Company's businesses serve are subject to economic conditions that are influenced by various factors. These factors include but are not limited to changes in general economic conditions, interest rates, exchange rates, commodity costs, federal subsidies for renewable energy projects, supply limitations that impact the availability of solar modules and therefore solar racking installations, demand for residential construction, demand for repair and remodeling, governmental policies and funding, tax policies and incentives, tariffs, trade policies, weather patterns, the level of non-residential construction and infrastructure projects, demand for renewable energy sources, and climate change. The Company believes the key elements of its strategy outlined in Item 1. Business of this Annual Report on Form 10-K will allow the Company to respond timely to these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Trends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uncertainty of the current macro-economic environment, including shifting inflation and higher interest rates, along with trade related disruptions that continue to impact the supply of solar modules used by the Company’s customers, along with permitting delays that affected project timing, have impacted and may continue to adversely impact our performance and financial results. Although the disruption in the supply of solar modules is improving, our customers continue to be challenged to obtain permits from relevant government entities to build new solar fields and the Company does expect that these aforementioned dynamics will continue through 2024.</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the Company does not sell or import solar modules, the goods and services the Company provides for its customers depend upon the supply of solar modules. Shortages of solar modules have resulted in project delays over the past two years. The supply has been primarily impacted by two regulatory items: the UFLPA which was enacted in June 2022, and the circumvention of AD/CVD investigation launched by the USDOC in March 2022, against eight solar module manufacturers producing in four countries in Southeast Asia.</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UFLPA requires traceability of components of imported goods to validate components are not sourced from the Xinjiang province in China. This requirement has caused delays in module availability as module manufacturers must follow a stringent importation process with the U.S. Custom and Border Protection Agency. While a few of the larger module manufacturers are experiencing more consistent success with the importation process, other module suppliers need to make further progress with UFLPA and the importation process. The UFLPA continues to create a compliance burden and constrain supply of imported solar modules, but the Company expects continual improvement of supply as more module manufacturers move forward on the learning curve.</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USDOC’s AD/CVD investigation, and until the final ruling from the USDOC was announced in August 2023, projects were delayed due to the risk of retroactive tariffs being imposed on the import of solar modules produced in four countries in Southeast Asia, where Chinese manufacturers have operations. In addition, of the eight major manufacturers under investigation, five were found to have been circumventing the AD/CVD orders. In parallel to the USDOC investigation, on June 6, 2022, an emergency Presidential Proclamation was issued delaying the imposition of duties on imports from the impacted countries until June 6, 2024. This proclamation provides non-U.S. based module manufacturers time to modify and secure supply chains to ensure compliance with U.S. law. In January 2024, a motion was filed requesting that the delay in the imposition of duties per the Presidential Proclamation be removed retroactively.</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16, 2022, the IRA was signed into law. Among other things, the IRA provides for a variety of enhanced ITC and Production Tax Credits for renewable energy subject to specific dates and requirements. Although the Company believes the IRA should assist in driving growth in the renewable energy industry, it is important that the Department of Treasury finalize rules governing the execution of additional investment tax incentives so industry and the Company's customers can move forward with projects currently on hold. Overall, the Company believes the enhanced tax credits under the IRA will provide long-term certainty for the industry and support consistent and accelerating demand for our products. The Company will work with its customers to optimize the various ITC as the final rules are defined and implemented.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 Measures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certain operating performance measures, specifically consolidated gross margin, operating margin by segment and consolidated operating margin, to manage its businesses, set operational goals, and establish performance targets for incentive compensation for its employees. The Company defines consolidated gross margin as a percentage of total consolidated gross profit to total consolidated net sales. The Company defines operating margin by segment as a percentage of total income from operations by segment to total net sales by segment and consolidated operating margin as a percentage of total consolidated income from operations to total consolidated net sales. The Company believes gross margin and operating margin may be useful to investors in evaluating the profitability of its segments and the Company on a consolidated basis.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2023 Compared to Year Ended December 31, 2022</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 discussion of the Company's results of operations for the year ended December 31, 2022 and for a comparison of such results of operations for the year ended December 31, 2021 results please refer to "Management's Discussion and Analysis of Financial Condition and Results of Operations" in the Company's Annual Report on Form 10-K for the year ended December 31, 2022 that was filed with the SEC on February 22,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results of operations data (in thousands) and its percentages of net sales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color w:val="auto"/>
              </w:rPr>
              <w:t>2023</w:t>
            </w: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270"/>
              <w:spacing w:after="0"/>
              <w:rPr>
                <w:sz w:val="20"/>
                <w:szCs w:val="20"/>
                <w:color w:val="auto"/>
              </w:rPr>
            </w:pPr>
            <w:r>
              <w:rPr>
                <w:rFonts w:ascii="Arial" w:cs="Arial" w:eastAsia="Arial" w:hAnsi="Arial"/>
                <w:sz w:val="16"/>
                <w:szCs w:val="16"/>
                <w:color w:val="auto"/>
              </w:rPr>
              <w:t>2022</w:t>
            </w:r>
          </w:p>
        </w:tc>
      </w:tr>
      <w:tr>
        <w:trPr>
          <w:trHeight w:val="22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1,389,966</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1,015,770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1,071,272</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77.1 %</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361,966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318,694</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207,440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188,592</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13.5 %</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impairment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150,729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14,565</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148,992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111,490</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29,084</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2.1 %</w:t>
            </w: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82,406</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by reportable segment for the years ended December 31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Impact of</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352"/>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ind w:right="372"/>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8" w:lineRule="exact"/>
              <w:rPr>
                <w:sz w:val="20"/>
                <w:szCs w:val="20"/>
                <w:color w:val="auto"/>
              </w:rPr>
            </w:pPr>
            <w:r>
              <w:rPr>
                <w:rFonts w:ascii="Arial" w:cs="Arial" w:eastAsia="Arial" w:hAnsi="Arial"/>
                <w:sz w:val="16"/>
                <w:szCs w:val="16"/>
                <w:color w:val="auto"/>
              </w:rPr>
              <w:t>Total</w:t>
            </w:r>
          </w:p>
        </w:tc>
        <w:tc>
          <w:tcPr>
            <w:tcW w:w="200" w:type="dxa"/>
            <w:vAlign w:val="bottom"/>
          </w:tcPr>
          <w:p>
            <w:pPr>
              <w:spacing w:after="0"/>
              <w:rPr>
                <w:sz w:val="13"/>
                <w:szCs w:val="13"/>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13"/>
                <w:szCs w:val="13"/>
                <w:color w:val="auto"/>
              </w:rPr>
            </w:pPr>
          </w:p>
        </w:tc>
        <w:tc>
          <w:tcPr>
            <w:tcW w:w="1340" w:type="dxa"/>
            <w:vAlign w:val="bottom"/>
            <w:gridSpan w:val="2"/>
          </w:tcPr>
          <w:p>
            <w:pPr>
              <w:jc w:val="center"/>
              <w:ind w:right="320"/>
              <w:spacing w:after="0" w:line="158" w:lineRule="exact"/>
              <w:rPr>
                <w:sz w:val="20"/>
                <w:szCs w:val="20"/>
                <w:color w:val="auto"/>
              </w:rPr>
            </w:pPr>
            <w:r>
              <w:rPr>
                <w:rFonts w:ascii="Arial" w:cs="Arial" w:eastAsia="Arial" w:hAnsi="Arial"/>
                <w:sz w:val="16"/>
                <w:szCs w:val="16"/>
                <w:color w:val="auto"/>
                <w:w w:val="98"/>
              </w:rPr>
              <w:t>Portfolio</w:t>
            </w: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color w:val="auto"/>
              </w:rPr>
              <w:t>Ongoing Operations</w:t>
            </w:r>
          </w:p>
        </w:tc>
        <w:tc>
          <w:tcPr>
            <w:tcW w:w="0" w:type="dxa"/>
            <w:vAlign w:val="bottom"/>
          </w:tcPr>
          <w:p>
            <w:pPr>
              <w:spacing w:after="0"/>
              <w:rPr>
                <w:sz w:val="1"/>
                <w:szCs w:val="1"/>
                <w:color w:val="auto"/>
              </w:rPr>
            </w:pPr>
          </w:p>
        </w:tc>
      </w:tr>
      <w:tr>
        <w:trPr>
          <w:trHeight w:val="215"/>
        </w:trPr>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Change</w:t>
            </w: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color w:val="auto"/>
              </w:rPr>
              <w:t>Management</w:t>
            </w: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20"/>
              <w:spacing w:after="0"/>
              <w:rPr>
                <w:sz w:val="20"/>
                <w:szCs w:val="20"/>
                <w:color w:val="auto"/>
              </w:rPr>
            </w:pPr>
            <w:r>
              <w:rPr>
                <w:rFonts w:ascii="Arial" w:cs="Arial" w:eastAsia="Arial" w:hAnsi="Arial"/>
                <w:sz w:val="18"/>
                <w:szCs w:val="18"/>
                <w:color w:val="auto"/>
              </w:rPr>
              <w:t>Renewables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330,738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377,567</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center"/>
              <w:ind w:left="313"/>
              <w:spacing w:after="0"/>
              <w:rPr>
                <w:sz w:val="20"/>
                <w:szCs w:val="20"/>
                <w:color w:val="auto"/>
              </w:rPr>
            </w:pPr>
            <w:r>
              <w:rPr>
                <w:rFonts w:ascii="Arial" w:cs="Arial" w:eastAsia="Arial" w:hAnsi="Arial"/>
                <w:sz w:val="18"/>
                <w:szCs w:val="18"/>
                <w:color w:val="auto"/>
                <w:w w:val="98"/>
              </w:rPr>
              <w:t>(46,829)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(46,829)</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767,248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rPr>
              <w:t>47,555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30"/>
        </w:trPr>
        <w:tc>
          <w:tcPr>
            <w:tcW w:w="2340" w:type="dxa"/>
            <w:vAlign w:val="bottom"/>
          </w:tcPr>
          <w:p>
            <w:pPr>
              <w:ind w:left="220"/>
              <w:spacing w:after="0"/>
              <w:rPr>
                <w:sz w:val="20"/>
                <w:szCs w:val="20"/>
                <w:color w:val="auto"/>
              </w:rPr>
            </w:pPr>
            <w:r>
              <w:rPr>
                <w:rFonts w:ascii="Arial" w:cs="Arial" w:eastAsia="Arial" w:hAnsi="Arial"/>
                <w:sz w:val="18"/>
                <w:szCs w:val="18"/>
                <w:color w:val="auto"/>
              </w:rPr>
              <w:t>Agtech</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168,868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left="313"/>
              <w:spacing w:after="0"/>
              <w:rPr>
                <w:sz w:val="20"/>
                <w:szCs w:val="20"/>
                <w:color w:val="auto"/>
              </w:rPr>
            </w:pPr>
            <w:r>
              <w:rPr>
                <w:rFonts w:ascii="Arial" w:cs="Arial" w:eastAsia="Arial" w:hAnsi="Arial"/>
                <w:sz w:val="18"/>
                <w:szCs w:val="18"/>
                <w:color w:val="auto"/>
                <w:w w:val="98"/>
              </w:rPr>
              <w:t>(23,901)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(20,120)</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Infrastructure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rPr>
              <w:t>10,945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1,377,736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1,389,966</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center"/>
              <w:ind w:left="313"/>
              <w:spacing w:after="0"/>
              <w:rPr>
                <w:sz w:val="20"/>
                <w:szCs w:val="20"/>
                <w:color w:val="auto"/>
              </w:rPr>
            </w:pPr>
            <w:r>
              <w:rPr>
                <w:rFonts w:ascii="Arial" w:cs="Arial" w:eastAsia="Arial" w:hAnsi="Arial"/>
                <w:sz w:val="18"/>
                <w:szCs w:val="18"/>
                <w:color w:val="auto"/>
                <w:w w:val="98"/>
              </w:rPr>
              <w:t>(12,230)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(69,256)</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sales decreased from 2022 by $12.2 million, or 0.9%, to $1.4 billion for 2023 compared to 2022. The decrease in revenue was driven by lower organic revenue of 5.0% or $69.3 million, the result of a 6% volume decline. Largely offsetting the year over year decrease were $60.8 million of revenues generated from recent acquisitions, which are reported as part of the Company's Residential segment, along with participation gains. Consolidated backlog increased 10% to $330 million up from $299 million at the end of the prior year.</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sales in the Renewables segment decreased by 12.4%, or $46.8 million, to $330.7 million in 2023 compared to $377.6 million in 2022. Revenue decreased by 12.4% from the prior year as the market demand for solar racking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installation continues to be impacted by timing delays due to lengthier permitting processes and pending guidance on final IRA tax credit guidelines, along with the lingering impact of importation challenges resulting from the UFLPA that lessened throughout the year. New order bookings continued to be robust as backlog increased 21% from the prior year.</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Net sales in the Residential segment increased 6.2%, or $47.6 million, to $814.8 million in 2023 compared to $767.2 million in 2022. </w:t>
      </w:r>
      <w:r>
        <w:rPr>
          <w:rFonts w:ascii="Arial" w:cs="Arial" w:eastAsia="Arial" w:hAnsi="Arial"/>
          <w:sz w:val="19"/>
          <w:szCs w:val="19"/>
          <w:color w:val="auto"/>
        </w:rPr>
        <w:t>T</w:t>
      </w:r>
      <w:r>
        <w:rPr>
          <w:rFonts w:ascii="Arial" w:cs="Arial" w:eastAsia="Arial" w:hAnsi="Arial"/>
          <w:sz w:val="18"/>
          <w:szCs w:val="18"/>
          <w:color w:val="auto"/>
        </w:rPr>
        <w:t>he increase from the prior year was the result of sales generated by recent acquisitions of $60.8 million along with additional participation gains and expanded market presence, which more than offset channel inventory corrections and price declines related to commodity cost reductions and 80/20 initiatives targeting less attractive product lines.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in the Agtech segment decreased 14.2%, or $23.9 million, to $145.0 million in 2023 compared to $168.9 million in 2022. Revenue declined as both the segment's commercial business and produce projects experienced delayed new project starts throughout most of the year, which began to convert to active projects in the fourth quarter of the year. While backlog decreased 6% year over year, the pipeline of projects is strong.</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in the Infrastructure segment increased 14.3%, or $10.9 million, to $87.2 million in 2023 compared to $76.3 million in 2022. The increase in revenue was driven by continued solid end market demand and ongoing efforts to increase market participation. Backlog increased 3% year over year, benefiting from these efforts.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consolidated gross margin increased to 26.3% for 2023 compared to 22.9% for 2022. This increase was the result of improved price to material cost alignment, solid execution in field operations, improvement in supply chain management and continued operational efficiencies, along with 80/20 initiatives and favorable business and product mix.</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("SG&amp;A") expenses increased by $18.8 million, or 10.0%, to $207.4 million for 2023 from $188.6 million for 2022. The $18.8 million increase was primarily due to higher performance-based compensation expense, as compared to the prior year. Incremental SG&amp;A expenses incurred by recent acquisitions also contributed to the increase. SG&amp;A expenses as a percentage of net sales increased to 15.1% for 2023 compared to 13.5% for 2022.</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2023, the Company recognized intangible asset impairment charges of $3.8 million. The impairment was largely the result of a rebranding initiative that resulted in the discontinuation of an indefinite-lived trademark of $3.2 million in the Agtech segment, and to a lesser extent, the write-off of amortizing intangibles for $0.6 million related to a discontinued product line in the Renewables segment.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Company’s income from operations and income from operations as a percentage of net sales by reportable segment for the years ended December 31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restart"/>
          </w:tcPr>
          <w:p>
            <w:pPr>
              <w:jc w:val="right"/>
              <w:ind w:right="91"/>
              <w:spacing w:after="0"/>
              <w:rPr>
                <w:sz w:val="20"/>
                <w:szCs w:val="20"/>
                <w:color w:val="auto"/>
              </w:rPr>
            </w:pPr>
            <w:r>
              <w:rPr>
                <w:rFonts w:ascii="Arial" w:cs="Arial" w:eastAsia="Arial" w:hAnsi="Arial"/>
                <w:sz w:val="16"/>
                <w:szCs w:val="16"/>
                <w:color w:val="auto"/>
              </w:rPr>
              <w:t>2023</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vMerge w:val="restart"/>
          </w:tcPr>
          <w:p>
            <w:pPr>
              <w:jc w:val="right"/>
              <w:ind w:right="51"/>
              <w:spacing w:after="0"/>
              <w:rPr>
                <w:sz w:val="20"/>
                <w:szCs w:val="20"/>
                <w:color w:val="auto"/>
              </w:rPr>
            </w:pPr>
            <w:r>
              <w:rPr>
                <w:rFonts w:ascii="Arial" w:cs="Arial" w:eastAsia="Arial" w:hAnsi="Arial"/>
                <w:sz w:val="16"/>
                <w:szCs w:val="16"/>
                <w:color w:val="auto"/>
              </w:rPr>
              <w:t>2022</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1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Renewables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30,160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25,243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9"/>
                <w:szCs w:val="19"/>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143,068</w:t>
            </w:r>
          </w:p>
        </w:tc>
        <w:tc>
          <w:tcPr>
            <w:tcW w:w="760" w:type="dxa"/>
            <w:vAlign w:val="bottom"/>
          </w:tcPr>
          <w:p>
            <w:pPr>
              <w:jc w:val="right"/>
              <w:spacing w:after="0"/>
              <w:rPr>
                <w:sz w:val="20"/>
                <w:szCs w:val="20"/>
                <w:color w:val="auto"/>
              </w:rPr>
            </w:pPr>
            <w:r>
              <w:rPr>
                <w:rFonts w:ascii="Arial" w:cs="Arial" w:eastAsia="Arial" w:hAnsi="Arial"/>
                <w:sz w:val="18"/>
                <w:szCs w:val="18"/>
                <w:color w:val="auto"/>
              </w:rPr>
              <w:t>17.6 %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126,458</w:t>
            </w:r>
          </w:p>
        </w:tc>
        <w:tc>
          <w:tcPr>
            <w:tcW w:w="720" w:type="dxa"/>
            <w:vAlign w:val="bottom"/>
          </w:tcPr>
          <w:p>
            <w:pPr>
              <w:jc w:val="right"/>
              <w:spacing w:after="0"/>
              <w:rPr>
                <w:sz w:val="20"/>
                <w:szCs w:val="20"/>
                <w:color w:val="auto"/>
              </w:rPr>
            </w:pPr>
            <w:r>
              <w:rPr>
                <w:rFonts w:ascii="Arial" w:cs="Arial" w:eastAsia="Arial" w:hAnsi="Arial"/>
                <w:sz w:val="18"/>
                <w:szCs w:val="18"/>
                <w:color w:val="auto"/>
              </w:rPr>
              <w:t>16.5 %</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16,610</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Agtech</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2,914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Infrastructure</w:t>
            </w:r>
          </w:p>
        </w:tc>
        <w:tc>
          <w:tcPr>
            <w:tcW w:w="280" w:type="dxa"/>
            <w:vAlign w:val="bottom"/>
          </w:tcPr>
          <w:p>
            <w:pPr>
              <w:spacing w:after="0"/>
              <w:rPr>
                <w:sz w:val="19"/>
                <w:szCs w:val="19"/>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18,529</w:t>
            </w:r>
          </w:p>
        </w:tc>
        <w:tc>
          <w:tcPr>
            <w:tcW w:w="760" w:type="dxa"/>
            <w:vAlign w:val="bottom"/>
          </w:tcPr>
          <w:p>
            <w:pPr>
              <w:jc w:val="right"/>
              <w:spacing w:after="0"/>
              <w:rPr>
                <w:sz w:val="20"/>
                <w:szCs w:val="20"/>
                <w:color w:val="auto"/>
              </w:rPr>
            </w:pPr>
            <w:r>
              <w:rPr>
                <w:rFonts w:ascii="Arial" w:cs="Arial" w:eastAsia="Arial" w:hAnsi="Arial"/>
                <w:sz w:val="18"/>
                <w:szCs w:val="18"/>
                <w:color w:val="auto"/>
              </w:rPr>
              <w:t>21.2 %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9,003</w:t>
            </w:r>
          </w:p>
        </w:tc>
        <w:tc>
          <w:tcPr>
            <w:tcW w:w="720" w:type="dxa"/>
            <w:vAlign w:val="bottom"/>
          </w:tcPr>
          <w:p>
            <w:pPr>
              <w:jc w:val="right"/>
              <w:spacing w:after="0"/>
              <w:rPr>
                <w:sz w:val="20"/>
                <w:szCs w:val="20"/>
                <w:color w:val="auto"/>
              </w:rPr>
            </w:pPr>
            <w:r>
              <w:rPr>
                <w:rFonts w:ascii="Arial" w:cs="Arial" w:eastAsia="Arial" w:hAnsi="Arial"/>
                <w:sz w:val="18"/>
                <w:szCs w:val="18"/>
                <w:color w:val="auto"/>
              </w:rPr>
              <w:t>11.8 %</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9,526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(40,100)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(33,516)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Consolidated income from operations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150,729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130,102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Renewables segment generated an operating margin of 9.1% in 2023 compared to 6.7% in 2022. The increase in operating margin was driven by field operations productivity, favorable price to cost alignment and improved supply chain management that offset lower volumes and higher restructuring charges incurred in the current year related to addressing customer issues arising from the discontinued legacy solar tracker solution.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Residential segment operating margin increased to 17.6% in 2023 from 16.5% in 2022. The increase in operating margin was the result of the benefit of improved alignment of price actions and input costs, along with 80/20 productivity initiatives and mix.</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Agtech segment generated an operating margin of (0.6)% in 2023 compared to 1.7% in 2022. The year over year decline in operating margin was the combined impact of a $3.5 million charge to write down a receivable associated with a distressed cannabis customer and the aforementioned $3.2 million indefinite-lived trademark impairment charge, the result of a rebranding initiative. The impact of these charges were partially offset by 80/20 initiatives and improvement in project management systems.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Infrastructure segment operating margin increased to 21.2% in 2023 compared to 11.8% in 2022. The margin improvement was due to strong operating execution, 80/20 productivity initiatives, supply chain efficiency, and product line mix.</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Unallocated corporate expenses increased $6.6 million, or 19.6%, to $40.1 million in 2023 from $33.5 million for 2022. The increase in expense was largely the result of higher performance-based compensation expense, as compared to the prior year.</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decreased $1.0 million to $3.0 million for 2023 from $4.0 million for 2022. The decrease in expense was primarily due to lower average outstanding balances in the current year, $37 million compared to $85 million, for 2023 and 2022, respectively, partially offset by higher interest rates compared to the prior year.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other income of $1.3 million in 2023, compared to other expense of $14.6 million in 2022. The current year income is the combined result of foreign currency translation fluctuations and changes in the fair market valuation allowance related to the liquidation of the processing business, offset by a $0.6 million pre-tax net loss relating to the sale of the Company's Japan-based solar racking business within its Renewables segment. In 2022, the Company recorded a $14.0 million valuation allowance related to the write-down of the processing business to estimated fair market value.</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recognized a provision for income taxes of $38.5 million, an effective tax rate of 25.8%, for 2023 compared with a provision for income taxes of $29.1 million, an effective tax rate of 26.1%, for 2022. The effective tax rates for 2023 and 2022 exceeded the U.S. federal statutory rate of 21% due to state taxes and nondeductible permanent differences partially offset by favorable discrete items due to an excess tax benefit on stock-based compensation.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liquidity position as of (in thousands):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6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2023</w:t>
            </w:r>
          </w:p>
        </w:tc>
        <w:tc>
          <w:tcPr>
            <w:tcW w:w="240" w:type="dxa"/>
            <w:vAlign w:val="bottom"/>
          </w:tcPr>
          <w:p>
            <w:pPr>
              <w:spacing w:after="0"/>
              <w:rPr>
                <w:sz w:val="20"/>
                <w:szCs w:val="20"/>
                <w:color w:val="auto"/>
              </w:rPr>
            </w:pPr>
          </w:p>
        </w:tc>
        <w:tc>
          <w:tcPr>
            <w:tcW w:w="212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17,608</w:t>
            </w:r>
          </w:p>
        </w:tc>
      </w:tr>
      <w:tr>
        <w:trPr>
          <w:trHeight w:val="229"/>
        </w:trPr>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Availability on revolving credit facility</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304,505</w:t>
            </w:r>
          </w:p>
        </w:tc>
      </w:tr>
      <w:tr>
        <w:trPr>
          <w:trHeight w:val="248"/>
        </w:trPr>
        <w:tc>
          <w:tcPr>
            <w:tcW w:w="6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322,113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sources of liquidity are comprised of cash on hand and available borrowing capacity provided under the Company's Credit Agreement (the "Credit Agreement"), entered into on December 8, 2022. The Credit Agreement maintains similar capacity as the prior agreement in which it provides for a revolving credit facility and letters of credit in an aggregate amount equal to $400 million. The Company can request additional financing to increase the revolving credit facility to $700 million or enter into a term loan of up to $300 million subject to conditions set forth in the Credit Agreement. The Company believes that these sources provide the Company with ample liquidity and capital resources to invest in operational excellence, growth initiatives and the development of the organization.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been able to weather the economic impacts of the broader market dynamics, including the inflationary cost environment, while continuing to make investments that support the Company's strategy. The Company continues to remain focused on managing its working capital, closely monitoring customer credit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collection activities, working with suppliers and challenging business process to optimize investment, and working to extend payment terms with its vendors. The Company believes its liquidity, together with the cash expected to be generated from operations, should be sufficient to fund working capital needs and growth initiatives for the foreseeable future.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can and does use its revolving credit facility to provide liquidity and capital resources primarily for the Company's U.S. operations when necessary. Generally, the Company's foreign operations have generated cash flow from operations sufficient to invest in working capital and fund their capital improvements. As of December 31, 2023 and 2022, the Company's foreign subsidiaries held $6.9 million and $15.2 million of cash, respectively.</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Outstanding balances on the Company's revolving credit facility under the Company's Credit Agreement accrue interest at a rate, at the Company's option, equal to the applicable margin plus (a) a base rate, (b) a daily simple secured overnight financing rate ("SOFR"), (c) a term SOFR rate, or (d) for certain foreign currencies, a foreign currency rate. See Note 9 to the Company's consolidated financial statements in Part II, Item 8, Financial Statements, of this Annual Report on Form 10-K for further information on the Company’s Credit Agreement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Uses of Cash / Cash Requirements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material short-term cash requirements primarily include accounts payable, certain employee and retiree benefit-related obligations, operating lease obligations, capital expenditures, and other purchase obligations originating in the normal course of business for inventory purchase orders and contractual service agreements. The Company's principal capital requirements are to fund its operations' working capital and capital improvements, as well as provide capital for acquisitions and to strategically allocate capital through repurchases of Company stock. The Company will continue to invest in growth opportunities as appropriate while focusing on working capital efficiency and profit improvement opportunities to minimize the cash invested to operate its business. The Company intends to fund its cash requirements through cash generated from operations and, as necessary, from the availability on its revolving credit facility. See Notes 8, 10, 12, 18 and 20 to the Company's consolidated financial statements in Part II, Item 8, Financial Statements, of this Annual Report on Form 10-K for further detail on the Company's accrued expenses, employee and retiree benefit-related obligations, operating lease obligations and historical capital expenditures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2022, the Company's Board of Directors authorized a share repurchase program of up to $200 million of the Company's issued and outstanding common stock. The program has a duration of three years, ending May 2, 2025. Repurchases may be made, from time to time, in amounts and at prices the Company deems appropriate, subject to market conditions, applicable legal requirements, debt covenants and other considerations. Any such repurchases may be executed using open market purchases, privately negotiated agreements or other transactions. The repurchase program may be suspended or discontinued at any time at the Company's discretion. As of December 31, 2023, the Company has repurchased 2,518,941 shares for an aggregate price of $111.0 million under this repurchase program, including 521,575 shares repurchased for an aggregate price of $25.2 million during the year ended December 31, 2023.</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Over the long-term, the Company expects that future investments, including strategic business opportunities such as acquisitions, may be financed through a number of sources, including internally available cash, availability under the Credit Agreement, new debt financing, the issuance of equity securities, or any combination of the aforementioned. The $10.4 million preliminary purchase price for the acquisition of a privately held Utah-based company was financed primarily through borrowing on the Company's revolving credit facility. All potential acquisitions are evaluated based on the Company's acquisition strategy, which includes the enhancement of the Company's existing products, operations, and/or capabilities, as well as expanding the Company's access to new products, markets, and customers, with the goal of creating compounding and sustainable stockholder value.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expectations are forward-looking statements based upon currently available information and may change if conditions in the credit and equity markets deteriorate or other circumstances change. To the extent that operating cash flows are lower than current levels, or sources of financing are not available or not available at acceptable terms, the Company's future liquidity may be adversely affected. See Item 1A. "Risk Factors - Risks Related to Financing and Accounting Matters - Increases in future levels of leverage and size of debt service obligations could adversely affect the Company's ability to raise additional capital to fund the Company's operations, limit the Company's ability to react to changes in the economy or the Company's industries and prevent the Company from meeting the Company's obligations."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16"/>
        </w:trPr>
        <w:tc>
          <w:tcPr>
            <w:tcW w:w="8220" w:type="dxa"/>
            <w:vAlign w:val="bottom"/>
          </w:tcPr>
          <w:p>
            <w:pPr>
              <w:spacing w:after="0"/>
              <w:rPr>
                <w:sz w:val="20"/>
                <w:szCs w:val="20"/>
                <w:color w:val="auto"/>
              </w:rPr>
            </w:pPr>
            <w:r>
              <w:rPr>
                <w:rFonts w:ascii="Arial" w:cs="Arial" w:eastAsia="Arial" w:hAnsi="Arial"/>
                <w:sz w:val="18"/>
                <w:szCs w:val="18"/>
                <w:color w:val="auto"/>
              </w:rPr>
              <w:t>The following table sets forth selected cash flow data for the years ended December 31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6"/>
        </w:trPr>
        <w:tc>
          <w:tcPr>
            <w:tcW w:w="8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218,476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102,691</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(71,683)</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(25,007)</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w:t>
            </w: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for 2023 of $218.5 million consisted of income from continuing operations of $110.5 million, non-cash net charges totaling $67.0 million, which include depreciation, amortization, intangible asset impairment, stock compensation, exit activity costs, provision for deferred income taxes and other non-cash charges, and $41.0 million of cash generated from working capital and other net operating assets largely due to the Company's focus on reducing its investment in inventory to better align with lower sales volumes while still meeting customer demand.</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for 2022 of $102.7 million consisted of income from continuing operations of $82.4 million, non-cash net charges totaling $58.6 million, which include depreciation, amortization, stock compensation, exit activity costs, provision for deferred income taxes and other non-cash charges, offset by a net investment in working capital and other net assets of $38.3 million. The net investment in working capital was largely the result of the timing and the settlement of payables in 2022 related to inventory received in 2021. Further, offsetting the impact of the decline in payables, the Company also reduced its investment in inventory as supply chain challenges subsided in 2022 and the Company was able to better align inventory levels with lower sales volumes. The decrease in accounts receivable as a result of lower sales volume in the fourth quarter of 2022 compared to the fourth quarter of 2021 also partially offset the investment in working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in investing activities for 2023 of $ 15.7 million consisted of net cash paid of $10.4 million for the acquisition of a privately held Utah-based company in the third quarter of 2023 and net capital expenditures of $13.9 million offset by net proceeds of $8.0 million from the sale of the Company's Japan-based solar racking business in the Company's Renewables segment in the fourth quarter of 2023 and receipt of the $0.6 million final working capital settlement related to the 2022 acquisition of QAP.</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investing activities for 2022 of $71.7 million consisted of net cash paid of $51.6 million for the acquisition of QAP in the third quarter of 2022 and capital expenditures of $20.1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2023 of $120.3 million consisted of net long-term debt payments of $91.0 million and $29.3 million of common stock repurchases. Net long-term debt payments consisted of $ 141.0 million in long-term debt payments, offset by $ 50.0 million in proceeds from borrowing on the Company's long-term debt credit facility. The Company paid $26.0 million in the current year to repurchase of 538,575 shares under the Company's authorized share repurchase program. The remainder of the repurchased common stock of $3.3 million related to the net settlement of tax obligations for participants in the Company's equity incentive plans.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2022 of $25.0 million consisted of $89.5 million of common stock repurchases, $2.0 million payment of debt issuance costs, offset by net proceeds from borrowings of $66.5 million. Repurchases of 1,997,366 shares under the Company's authorized share repurchase program totaled $ 85.1 million with the balance of $ 4.4 million of common stock repurchases related to the net settlement of tax obligations for participants in the Company's equity incentive plans. Net proceeds from borrowings consisted of $204.5 million in proceeds from borrowing on the Company's long-term credit facility, offset by $138.0 million in payments on long-term debt.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the financial statements in conformity with accounting principles generally accepted in the United States of America requires management to make decisions based upon estimates, assumptions, and factors it considers relevant to the circumstances. Such decisions include the selection of applicable principles and the use of judgment in their application, the results of which could differ from those anticipated.</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summary of the Company’s significant accounting policies are described in Note 1 of the Company’s consolidated financial statements included in Part II, Item 8, Financial Statements and Supplementary Data, of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most critical accounting estimates that require the most difficult, subjective and complex judgments include:</w:t>
      </w:r>
    </w:p>
    <w:p>
      <w:pPr>
        <w:spacing w:after="0" w:line="117" w:lineRule="exact"/>
        <w:rPr>
          <w:sz w:val="20"/>
          <w:szCs w:val="20"/>
          <w:color w:val="auto"/>
        </w:rPr>
      </w:pPr>
    </w:p>
    <w:p>
      <w:pPr>
        <w:ind w:left="820" w:hanging="56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recognition on contracts with customers;</w:t>
      </w:r>
    </w:p>
    <w:p>
      <w:pPr>
        <w:spacing w:after="0" w:line="27" w:lineRule="exact"/>
        <w:rPr>
          <w:rFonts w:ascii="Arial" w:cs="Arial" w:eastAsia="Arial" w:hAnsi="Arial"/>
          <w:sz w:val="18"/>
          <w:szCs w:val="18"/>
          <w:color w:val="auto"/>
        </w:rPr>
      </w:pPr>
    </w:p>
    <w:p>
      <w:pPr>
        <w:ind w:left="820" w:hanging="56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determination of fair value of assets acquired in significant business combination transactions; and</w:t>
      </w:r>
    </w:p>
    <w:p>
      <w:pPr>
        <w:spacing w:after="0" w:line="9" w:lineRule="exact"/>
        <w:rPr>
          <w:rFonts w:ascii="Arial" w:cs="Arial" w:eastAsia="Arial" w:hAnsi="Arial"/>
          <w:sz w:val="18"/>
          <w:szCs w:val="18"/>
          <w:color w:val="auto"/>
        </w:rPr>
      </w:pPr>
    </w:p>
    <w:p>
      <w:pPr>
        <w:ind w:left="820" w:hanging="56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assessment of recoverability of goodwill and other indefinite-lived intangible assets.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reviews these estimates on a regular basis and makes adjustments based on historical experience, current conditions, and future expectations. Management believes these estimates are reasonable, but actual results could differ from these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on Contracts with Customers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vast majority of the Company's sales contracts are for standard products with revenue recognized at the point in time the Company transfers control to the customer. The point in time the Company transfers control is based on when the Company determines the customer has legal title, significant risks and rewards of ownership of the asset, and the Company has a present right to payment for the product. However, revenue representing approximately 35%, 40% and 47% of the Company's 2023, 2022 and 2021 consolidated net sales, respectively, was recognized over time under the cost-to-cost method as the Company satisfied its performance obligations. This method of revenue recognition pertains to activities within the Renewables, Agtech, and Infrastructure segments.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recognized on contracts over time using the cost-to-cost method for measuring progress is recognized as work progresses toward completion based on the ratio of cumulative costs incurred to date to estimated total contract costs at completion. Revenues are recognized proportionally as costs are incurred under this method. Estimates of the total costs at completion for the performance obligations involve subjective judgment and estimation to determine total costs expected to be incurred by the time the performance obligation has been completed and accepted by the customer. The estimates of total costs to be incurred at completion of each contract are sensitive to significant judgments and assumptions, such as the expected costs to complete installation, which are affected by customer site-specific conditions as well as availability and cost of third-party contractors to complete the installation process. These estimates, judgments and assumptions impact the timing and amount of net sales and cost of sales recognized on in-progress performance obligations with customers. The Company continuously reviews its estimates and the progress and performance of the performance obligation for substantially all contracts that the Company recognizes revenue over time under the cost-to-cost method. Any adjustments or changes in these estimates affecting sales, costs and profits are recognized in the period in which the change becomes known using the cumulative catch-up method of accounting, resulting in the cumulative effect of changes reflected in the period. A significant change in an estimate on one or more contracts could have a material effect on the Company's results of operations.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Contract costs include all direct costs related to contract performance. Selling and administrative expenses are charged to operations as incurred. Provisions for estimated losses on uncompleted contracts are made in the period in which such losses are determined. Because of inherent uncertainties in estimating costs, it is reasonably possible that changes in performance could result in revisions to cost and revenue, which are recognized in the period when the revisions are determined.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Fair Value of Assets Acquired in a Significant Business Combination</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Company acquires a business, the Company allocates the purchase price to the assets acquired and liabilities assumed in the transaction at their respective estimated fair values. The Company records any premium over the fair value of net assets acquired as goodwill. Significant judgment is necessary to determine the fair value of the purchase price. The allocation of the purchase price involves judgments and estimates both in characterizing the assets and in determining their fair value. The way the Company characterizes the assets has important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implications, as long-lived assets with definitive lives, for example, are depreciated or amortized, whereas goodwill is tested annually for impairment, as explained above.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determining the fair value of assets acquired in a significant business combination, the most subjective estimates involve valuations of long-lived assets, such as identified intangible assets and property, plant, and equipment. The Company uses all available information to make these fair value determinations and engage independent valuation specialists to assist in the fair value determination of the acquired long-lived assets. The fair values of long-lived assets are determined using valuation techniques that use discounted cash flow methods, independent market appraisals, and other acceptable valuation techniques. The significant assumptions used to estimate the value of the intangible assets included discount rates, customer attrition, and certain assumptions that form the basis of the forecasted results (e.g., revenue growth rates and operating profit margin). The significant assumptions related to estimating the fair value of the intangible assets above are forward looking and could be affected by future economic market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Indefinite-lived Intangible Asset Impairment Testing</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goodwill and indefinite-lived intangible asset balances of $513.4 million and $52.3 million, respectively, which in aggregate represent approximately 45% of total assets as of December 31, 2023, are subject to impairment testing. The Company tests goodwill and indefinite-lived intangible assets for impairment on an annual basis as of October 31 and at interim dates when indicators of impairment are present. Indicators of impairment could include a significant long-term adverse change in business climate, poor indicators of operating performance, or a sale or disposition of a significant portion of a reporting unit.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tests goodwill for impairment at the reporting unit level. The Company identifies the Company's reporting units by assessing whether the components of the Company constitute businesses for which discrete financial information is available and segment management regularly reviews the operating results of those components. The Company has seven reporting units, all of which have goodwill. The Company tests its indefinite-lived intangible assets for impairment by comparing the fair value of the indefinite-lived intangible asset, determined using a discounted cash flow model, with its carrying amount.</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interim periods, the Company evaluates the potential for goodwill and indefinite-lived intangible asset impairment using a qualitative assessment by considering factors such as, but not limited to, macroeconomic conditions, industry conditions, the competitive environment, changes in the market for the Company's products and services, regulatory and political developments, entity specific factors such as strategy, changes in key personnel, and overall financial performance. Upon completing this assessment, if it is determined that it is more likely than not that the fair value is less than its carrying value, the Company proceeds to a quantitative impairment test. During the interim periods of 2023, the Company concluded that no indicators of impairment existed at interim dates and did not perform any quantitative interim impairment tests related to goodwill and indefinite-lived intangible assets.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conducts its annual impairment test as of October 31, during which the Company tests goodwill and other indefinite-lived intangible assets for impairment. On an annual basis, the quantitative goodwill impairment test consists of comparing the fair value of a reporting unit with the carrying amount of the reporting unit including goodwill. If the carrying amount of the reporting unit exceeds the reporting unit’s fair value, an impairment loss is recognized in the amount by which the carrying value of the reporting unit exceeds the fair value of the reporting unit. The assumptions used to determine the fair value of the Company's indefinite-lived intangible assets are consistent with the assumptions employed in the determination of the fair values of the Company's reporting units. An impairment loss would be recognized for the carrying amount in excess of its fair value. The fair values of the impaired trademarks were determined using an income approach consisting of the relief-from-royalty method.</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annual quantitative impairment tests require subjective and complex judgment due to the significant estimation required in determining the fair value of the reporting units and the fair value of indefinite-lived intangible assets. Reporting unit fair value estimates include significant assumptions such as: revenue growth rates, operating margins, estimated royalty rates, company-specific risk premiums used in the weighted-average cost of capital, and EBITDA multiples, which are affected by expectations about future market or economic conditions. The Company performs sensitivity analyses on significant assumptions to evaluate how changes in the estimated fair values of reporting units and indefinite-lived intangible assets respond to changes in assumptions, specifically the revenue growth rates and the weighted-average cost of capital.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Company's quantitative testing, none of the reporting units as of the Company's testing date had carrying values in excess of their fair values, nor were any of the reporting units "at-risk" of impairment. The Company quantitatively defines "at risk" as a percentage of the excess of the reporting unit's fair value over its carrying amount that is less than 10%. An "at risk" reporting unit qualitatively represents a reporting unit with a higher degree of uncertainty of the reporting unit's ability to meet its forecasted cash flows based upon revenue growth rate and operating margin assumptions relied upon in the estimation of its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against goodwill recorded during the years ended December 31, 2023, 2022, and 2021.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intangible asset impairment charges of $ 3.8 million during the year ended December 31, 2023 related to indefinite-lived trademark intangible assets due to a rebranding initiative that resulted in the discontinuation of certain indefinite-lived trademarks in the Agtech segment, along with the write-off of amortizing intangibles related to a discontinued product line in the Renewables segment. The Company recognized no impairment charges related to intangible assets during the year ended December 31, 2022. The Company recognized $8.3 million of impairment charges on its indefinite-lived intangible assets during the year ended December 31, 2021 due to a rebranding initiative resulting in the discontinuation of two indefinite-lived trademarks in the Agtech segment.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accounting pronouncements are issued periodically that affect the Company's current and future operations. See Note 1 to the Company's consolidated financial statements in Part II, Item 8, Financial Statements and Supplementary Data, of this Annual Report on Form 10-K for further information on recent accounting pronouncements in accordance with U.S. generally accepted accounting principles.</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ordinary course of business, the Company is exposed to various market risk factors, including changes in general economic conditions, competition, and raw materials pricing and availability. In addition, the Company is exposed to other financial market risks, primarily related to its long-term debt and foreign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 Pricing Risk</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subject to market risk exposure related to volatility in the price of the Company's principal raw materials of steel, aluminum and resins, which are cyclical in nature and have been historically volatile. Exposure to commodity price fluctuations are generally managed through alignment of the Company's materials costs with pricing to customers by passing increases in raw material costs through to customers and maintaining inventory levels not in excess of the Company's production requirements. The Company may experience unfavorable cost-price alignment if increases in these raw material costs cannot be partially or fully passed on to customers, or if the timing of price increases lags behind the raw material cost increases. The Company cannot accurately calculate the pre-tax impact a one percent change in the commodity costs would have on the Company's 2023 operating results as the change in commodity costs would both impact the cost to purchase materials and the selling prices the Company offers to customers. The impact to the Company's operating results would significantly depend on the competitive environment and the costs of other alternative products, which could impact the Company's ability to pass commodity costs to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currently utilizes variable interest rate debt to manage interest rate risk, and would consider utilizing fixed rate debt if borrowings were expected to be outstanding for an extended period of time. In order to manage interest rate risk, the Company will continue to monitor changes in its debt levels and access to capital ensuring interest rate risk is appropriately managed. At December 31, 2023, the Company's available variable rate debt consisted of borrowings under the Company's Credit Agreement, of which there was no outstanding indebtedness on the revolving credit facility as of December 31, 2023 and there was no other debt outstanding at year end. Borrowings under the revolving credit facility during the year ended December 31, 2023 bore interest at a variable interest rate based upon, at the Company's option, at a rate equal to an additional margin plus (a) a base rate, (b) a daily simple SOFR rate, (c) a term SOFR rate or (d) for certain foreign currencies, a foreign current rate. A</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hypothetical 1% increase or decrease in interest rates would have changed the Company's 2023 interest expense by $0.4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foreign exchange risk due to the Company's international operations, primarily in Canada, and through sales to and purchases from foreign customers and vendors. Changes in the values of currencies of foreign countries affect the Company's financial position and cash flows when translated into U.S. dollars. The Company principally manages its exposures to many of these foreign exchange rate risks solely through management of its core business activities. The Company cannot accurately calculate the pre-tax impact that a one percent change in the exchange rates of foreign currencies would have on the Company's 2023 operating results as the changes in exchange rates would impact the cost of materials, the U.S. dollar revenue equivalents, and potentially the prices offered to overseas customers.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E32E1"/>
        </w:rPr>
        <w:t>Financial Statements: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0E32E1"/>
        </w:rPr>
        <w:t>Report of Independent Registered Public Accounting Firm</w:t>
      </w:r>
      <w:r>
        <w:rPr>
          <w:rFonts w:ascii="Arial" w:cs="Arial" w:eastAsia="Arial" w:hAnsi="Arial"/>
          <w:sz w:val="18"/>
          <w:szCs w:val="18"/>
          <w:color w:val="0E32E1"/>
        </w:rPr>
        <w:t xml:space="preserve"> (PCAOB ID: 42)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0E32E1"/>
        </w:rPr>
        <w:t>Consolidated Statements of Income for the Years Ended December 31, 2023, 2022, and 2021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u w:val="single" w:color="auto"/>
          <w:color w:val="0E32E1"/>
        </w:rPr>
        <w:t>Consolidated Statements of Comprehensive Income for the Years Ended December 31, 2023, 2022, and 2021</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0E32E1"/>
        </w:rPr>
        <w:t>Consolidated Balance Sheets as of December 31, 2023 and 2022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0E32E1"/>
        </w:rPr>
        <w:t>Consolidated Statements of Cash Flows for the Years Ended December 31, 2023, 2022, and 2021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0E32E1"/>
        </w:rPr>
        <w:t>Consolidated Statements of Stockholders’ Equity for the Years Ended December 31, 2023, 2022, and 2021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0E32E1"/>
        </w:rPr>
        <w:t>Notes to Consolidated 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0E32E1"/>
        </w:rPr>
        <w:t>Index for Notes to Consolidated Financial Statements: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 Summary of Significant Accounting Policies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2. Accounts Receivable, Net</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3. Revenue</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4. Inventories, Net</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5. Property, Plant, and Equipment, Net</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6. Acquisitions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7. Goodwill and Related Intangible Assets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8. Accrued Expenses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9. Debt</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10. Pension and Other Postretirement Benefits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11. Accumulated Other Comprehensive (Loss) Income</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12. Equity-Based Compensation</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13. Fair Value Measurements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14. Discontinued Operations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15. Exit Activity Costs and Asset Impairments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16. Income Taxes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17. Earnings per Share</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18. Leases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19. Commitments and Contingencies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0E32E1"/>
        </w:rPr>
        <w:t>Note 20.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Arial" w:cs="Arial" w:eastAsia="Arial" w:hAnsi="Arial"/>
          <w:sz w:val="16"/>
          <w:szCs w:val="16"/>
          <w:color w:val="0E32E1"/>
        </w:rPr>
        <w:t>Page</w:t>
      </w:r>
    </w:p>
    <w:p>
      <w:pPr>
        <w:spacing w:after="0"/>
        <w:rPr>
          <w:sz w:val="20"/>
          <w:szCs w:val="20"/>
          <w:color w:val="auto"/>
        </w:rPr>
      </w:pPr>
      <w:r>
        <w:rPr>
          <w:rFonts w:ascii="Arial" w:cs="Arial" w:eastAsia="Arial" w:hAnsi="Arial"/>
          <w:sz w:val="16"/>
          <w:szCs w:val="16"/>
          <w:color w:val="0E32E1"/>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10795</wp:posOffset>
            </wp:positionV>
            <wp:extent cx="805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34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36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37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38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39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40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41</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41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46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46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47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47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47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50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51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52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52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54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55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58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58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59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59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62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62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63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E32E1"/>
        </w:rPr>
        <w:t>63</w:t>
      </w:r>
    </w:p>
    <w:p>
      <w:pPr>
        <w:sectPr>
          <w:pgSz w:w="11900" w:h="16838" w:orient="portrait"/>
          <w:cols w:equalWidth="0" w:num="2">
            <w:col w:w="9560" w:space="720"/>
            <w:col w:w="900"/>
          </w:cols>
          <w:pgMar w:left="320" w:top="121"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Gibraltar Industries,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Gibraltar Industries, Inc. (the Company) as of December 31, 2023 and 2022, the related consolidated statements of income, comprehensive income,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21, 2024 expressed an unqualified opinion thereon.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500" w:type="dxa"/>
            <w:vAlign w:val="bottom"/>
          </w:tcPr>
          <w:p>
            <w:pPr>
              <w:spacing w:after="0"/>
              <w:rPr>
                <w:sz w:val="17"/>
                <w:szCs w:val="17"/>
                <w:color w:val="auto"/>
              </w:rPr>
            </w:pPr>
          </w:p>
        </w:tc>
      </w:tr>
      <w:tr>
        <w:trPr>
          <w:trHeight w:val="856"/>
        </w:trPr>
        <w:tc>
          <w:tcPr>
            <w:tcW w:w="14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95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Revenue Recognition on Contracts</w:t>
            </w:r>
          </w:p>
        </w:tc>
      </w:tr>
      <w:tr>
        <w:trPr>
          <w:trHeight w:val="239"/>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auto"/>
              </w:rPr>
              <w:t>Description of the</w:t>
            </w:r>
          </w:p>
        </w:tc>
        <w:tc>
          <w:tcPr>
            <w:tcW w:w="9500" w:type="dxa"/>
            <w:vAlign w:val="bottom"/>
          </w:tcPr>
          <w:p>
            <w:pPr>
              <w:ind w:left="160"/>
              <w:spacing w:after="0"/>
              <w:rPr>
                <w:sz w:val="20"/>
                <w:szCs w:val="20"/>
                <w:color w:val="auto"/>
              </w:rPr>
            </w:pPr>
            <w:r>
              <w:rPr>
                <w:rFonts w:ascii="Arial" w:cs="Arial" w:eastAsia="Arial" w:hAnsi="Arial"/>
                <w:sz w:val="18"/>
                <w:szCs w:val="18"/>
                <w:color w:val="auto"/>
              </w:rPr>
              <w:t>During the year ended December 31, 2023, the amount of revenue recognized over time was $484 million. As</w:t>
            </w:r>
          </w:p>
        </w:tc>
      </w:tr>
      <w:tr>
        <w:trPr>
          <w:trHeight w:val="216"/>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auto"/>
              </w:rPr>
              <w:t>Matter</w:t>
            </w:r>
          </w:p>
        </w:tc>
        <w:tc>
          <w:tcPr>
            <w:tcW w:w="9500" w:type="dxa"/>
            <w:vAlign w:val="bottom"/>
          </w:tcPr>
          <w:p>
            <w:pPr>
              <w:ind w:left="160"/>
              <w:spacing w:after="0"/>
              <w:rPr>
                <w:sz w:val="20"/>
                <w:szCs w:val="20"/>
                <w:color w:val="auto"/>
              </w:rPr>
            </w:pPr>
            <w:r>
              <w:rPr>
                <w:rFonts w:ascii="Arial" w:cs="Arial" w:eastAsia="Arial" w:hAnsi="Arial"/>
                <w:sz w:val="18"/>
                <w:szCs w:val="18"/>
                <w:color w:val="auto"/>
              </w:rPr>
              <w:t>discussed in Note 1 to the consolidated financial statements, for contracts with customers with respect to which the</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Company satisfies a performance obligation over time, the Company recognizes revenue based on the extent of</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progress towards completion of the performance obligation using the cost-to-cost measure of progress. Auditing</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management’s estimates to complete for certain components is especially subjective due to significant judgment</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required in estimating the remaining costs to complete. Factors inherent in the estimation process include direct labor</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hours, direct material costs, and other direct costs. Due to uncertainties attributed to such factors, a significant</w:t>
            </w:r>
          </w:p>
        </w:tc>
      </w:tr>
      <w:tr>
        <w:trPr>
          <w:trHeight w:val="239"/>
        </w:trPr>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change in an estimate on one or more contracts could have a material effect on the Company’s results of operations.</w:t>
            </w:r>
          </w:p>
        </w:tc>
      </w:tr>
      <w:tr>
        <w:trPr>
          <w:trHeight w:val="490"/>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auto"/>
              </w:rPr>
              <w:t>How We</w:t>
            </w:r>
          </w:p>
        </w:tc>
        <w:tc>
          <w:tcPr>
            <w:tcW w:w="9500" w:type="dxa"/>
            <w:vAlign w:val="bottom"/>
          </w:tcPr>
          <w:p>
            <w:pPr>
              <w:ind w:left="160"/>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 that address</w:t>
            </w:r>
          </w:p>
        </w:tc>
      </w:tr>
      <w:tr>
        <w:trPr>
          <w:trHeight w:val="216"/>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auto"/>
              </w:rPr>
              <w:t>Addressed the</w:t>
            </w:r>
          </w:p>
        </w:tc>
        <w:tc>
          <w:tcPr>
            <w:tcW w:w="9500" w:type="dxa"/>
            <w:vAlign w:val="bottom"/>
          </w:tcPr>
          <w:p>
            <w:pPr>
              <w:ind w:left="160"/>
              <w:spacing w:after="0"/>
              <w:rPr>
                <w:sz w:val="20"/>
                <w:szCs w:val="20"/>
                <w:color w:val="auto"/>
              </w:rPr>
            </w:pPr>
            <w:r>
              <w:rPr>
                <w:rFonts w:ascii="Arial" w:cs="Arial" w:eastAsia="Arial" w:hAnsi="Arial"/>
                <w:sz w:val="18"/>
                <w:szCs w:val="18"/>
                <w:color w:val="auto"/>
              </w:rPr>
              <w:t>the risks of material misstatement relating to the measurement and valuation of the Company’s review of estimated</w:t>
            </w:r>
          </w:p>
        </w:tc>
      </w:tr>
      <w:tr>
        <w:trPr>
          <w:trHeight w:val="216"/>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auto"/>
              </w:rPr>
              <w:t>Matter in Our Audit</w:t>
            </w:r>
          </w:p>
        </w:tc>
        <w:tc>
          <w:tcPr>
            <w:tcW w:w="9500" w:type="dxa"/>
            <w:vAlign w:val="bottom"/>
          </w:tcPr>
          <w:p>
            <w:pPr>
              <w:ind w:left="160"/>
              <w:spacing w:after="0"/>
              <w:rPr>
                <w:sz w:val="20"/>
                <w:szCs w:val="20"/>
                <w:color w:val="auto"/>
              </w:rPr>
            </w:pPr>
            <w:r>
              <w:rPr>
                <w:rFonts w:ascii="Arial" w:cs="Arial" w:eastAsia="Arial" w:hAnsi="Arial"/>
                <w:sz w:val="18"/>
                <w:szCs w:val="18"/>
                <w:color w:val="auto"/>
              </w:rPr>
              <w:t>costs to complete, including the determination of the underlying significant assumptions and the completeness and</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9"/>
              </w:rPr>
              <w:t>accuracy of the open contracts reviewed. For example, we tested controls over management’s quarterly review of the</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cost estimates, monthly review of open contracts and completed contracts, and review over the cost estimates used</w:t>
            </w:r>
          </w:p>
        </w:tc>
      </w:tr>
      <w:tr>
        <w:trPr>
          <w:trHeight w:val="239"/>
        </w:trPr>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to develop initial cost estimates on projects.</w:t>
            </w:r>
          </w:p>
        </w:tc>
      </w:tr>
      <w:tr>
        <w:trPr>
          <w:trHeight w:val="436"/>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To test the amount of revenue recognized from contracts, our audit procedures included, among others, assessing</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whether the performance obligations identified were appropriately recognized on an over time basis through</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inspection of the contract and inquiry from program management regarding the nature and scope of work and testing</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the completeness and accuracy of the data underlying the determination of the amount of revenue recognized in the</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current period. To assess the over time revenue recognition, we tested that the actual costs incurred on the project</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are complete and accurate through agreement to supporting evidence. Our testing of the assumptions included a</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combination of confirmation of contract terms, billings, and project status directly with customers, inquiries of the</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9"/>
              </w:rPr>
              <w:t>program management and financial personnel, inspection of evidence to support future estimated costs, performance</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of an analysis of actual gross margin on completed contracts compared to prior estimates, evaluation of subsequent</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year-end expenses incurred on projects, and assessment of the historical accuracy of management’s estimates by</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analyzing changes in project gross margins during project lifecycles and determining if those changes were driven by</w:t>
            </w:r>
          </w:p>
        </w:tc>
      </w:tr>
      <w:tr>
        <w:trPr>
          <w:trHeight w:val="239"/>
        </w:trPr>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cost factors that should have been known or could have been reasonably estimated at project inception.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31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GIBRALTAR INDUSTRIES, INC.</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gridSpan w:val="5"/>
          </w:tcPr>
          <w:p>
            <w:pPr>
              <w:jc w:val="center"/>
              <w:ind w:left="1530"/>
              <w:spacing w:after="0"/>
              <w:rPr>
                <w:sz w:val="20"/>
                <w:szCs w:val="20"/>
                <w:color w:val="auto"/>
              </w:rPr>
            </w:pPr>
            <w:r>
              <w:rPr>
                <w:rFonts w:ascii="Arial" w:cs="Arial" w:eastAsia="Arial" w:hAnsi="Arial"/>
                <w:sz w:val="18"/>
                <w:szCs w:val="18"/>
                <w:color w:val="auto"/>
                <w:w w:val="99"/>
              </w:rPr>
              <w:t>CONSOLIDATED STATEMENTS OF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(in thousands, except per share data)</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14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40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26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1,339,783</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26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1,015,770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1,049,772</w:t>
            </w:r>
          </w:p>
        </w:tc>
        <w:tc>
          <w:tcPr>
            <w:tcW w:w="0" w:type="dxa"/>
            <w:vAlign w:val="bottom"/>
          </w:tcPr>
          <w:p>
            <w:pPr>
              <w:spacing w:after="0"/>
              <w:rPr>
                <w:sz w:val="1"/>
                <w:szCs w:val="1"/>
                <w:color w:val="auto"/>
              </w:rPr>
            </w:pPr>
          </w:p>
        </w:tc>
      </w:tr>
      <w:tr>
        <w:trPr>
          <w:trHeight w:val="223"/>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290,011</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207,440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188,592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184,723</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 impairment</w:t>
            </w:r>
          </w:p>
        </w:tc>
        <w:tc>
          <w:tcPr>
            <w:tcW w:w="2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23"/>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Income from operations</w:t>
            </w:r>
          </w:p>
        </w:tc>
        <w:tc>
          <w:tcPr>
            <w:tcW w:w="26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150,729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130,102</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96,988</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w:t>
            </w:r>
          </w:p>
        </w:tc>
        <w:tc>
          <w:tcPr>
            <w:tcW w:w="26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23"/>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before taxes</w:t>
            </w:r>
          </w:p>
        </w:tc>
        <w:tc>
          <w:tcPr>
            <w:tcW w:w="2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99,562</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Provision for income taxes</w:t>
            </w:r>
          </w:p>
        </w:tc>
        <w:tc>
          <w:tcPr>
            <w:tcW w:w="26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25,046</w:t>
            </w:r>
          </w:p>
        </w:tc>
        <w:tc>
          <w:tcPr>
            <w:tcW w:w="0" w:type="dxa"/>
            <w:vAlign w:val="bottom"/>
          </w:tcPr>
          <w:p>
            <w:pPr>
              <w:spacing w:after="0"/>
              <w:rPr>
                <w:sz w:val="1"/>
                <w:szCs w:val="1"/>
                <w:color w:val="auto"/>
              </w:rPr>
            </w:pPr>
          </w:p>
        </w:tc>
      </w:tr>
      <w:tr>
        <w:trPr>
          <w:trHeight w:val="223"/>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74,516</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Discontinued operations:</w:t>
            </w:r>
          </w:p>
        </w:tc>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before taxes</w:t>
            </w:r>
          </w:p>
        </w:tc>
        <w:tc>
          <w:tcPr>
            <w:tcW w:w="2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9"/>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Provision for income taxes</w:t>
            </w:r>
          </w:p>
        </w:tc>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Income from discontinued operations</w:t>
            </w:r>
          </w:p>
        </w:tc>
        <w:tc>
          <w:tcPr>
            <w:tcW w:w="26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3"/>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26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82,406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75,629</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Net earnings per share – Basic:</w:t>
            </w:r>
          </w:p>
        </w:tc>
        <w:tc>
          <w:tcPr>
            <w:tcW w:w="2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Income from continuing operations</w:t>
            </w:r>
          </w:p>
        </w:tc>
        <w:tc>
          <w:tcPr>
            <w:tcW w:w="31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discontinued operations</w:t>
            </w:r>
          </w:p>
        </w:tc>
        <w:tc>
          <w:tcPr>
            <w:tcW w:w="2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26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earnings per share – Diluted:</w:t>
            </w:r>
          </w:p>
        </w:tc>
        <w:tc>
          <w:tcPr>
            <w:tcW w:w="2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80" w:type="dxa"/>
            <w:vAlign w:val="bottom"/>
            <w:gridSpan w:val="2"/>
            <w:vMerge w:val="continue"/>
          </w:tcPr>
          <w:p>
            <w:pPr>
              <w:spacing w:after="0"/>
              <w:rPr>
                <w:sz w:val="15"/>
                <w:szCs w:val="15"/>
                <w:color w:val="auto"/>
              </w:rPr>
            </w:pPr>
          </w:p>
        </w:tc>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31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Income from discontinued operations</w:t>
            </w:r>
          </w:p>
        </w:tc>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8"/>
        </w:trPr>
        <w:tc>
          <w:tcPr>
            <w:tcW w:w="39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2"/>
            <w:vMerge w:val="continue"/>
          </w:tcPr>
          <w:p>
            <w:pPr>
              <w:spacing w:after="0"/>
              <w:rPr>
                <w:sz w:val="17"/>
                <w:szCs w:val="17"/>
                <w:color w:val="auto"/>
              </w:rPr>
            </w:pPr>
          </w:p>
        </w:tc>
        <w:tc>
          <w:tcPr>
            <w:tcW w:w="26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30,785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32,192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33,054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560" w:type="dxa"/>
            <w:vAlign w:val="bottom"/>
            <w:gridSpan w:val="5"/>
          </w:tcPr>
          <w:p>
            <w:pPr>
              <w:jc w:val="center"/>
              <w:ind w:left="1790"/>
              <w:spacing w:after="0"/>
              <w:rPr>
                <w:sz w:val="20"/>
                <w:szCs w:val="20"/>
                <w:color w:val="auto"/>
              </w:rPr>
            </w:pPr>
            <w:r>
              <w:rPr>
                <w:rFonts w:ascii="Arial" w:cs="Arial" w:eastAsia="Arial" w:hAnsi="Arial"/>
                <w:sz w:val="18"/>
                <w:szCs w:val="18"/>
                <w:color w:val="auto"/>
                <w:w w:val="99"/>
              </w:rPr>
              <w:t>GIBRALTAR INDUSTRIES, INC.</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020" w:type="dxa"/>
            <w:vAlign w:val="bottom"/>
            <w:gridSpan w:val="6"/>
          </w:tcPr>
          <w:p>
            <w:pPr>
              <w:jc w:val="center"/>
              <w:ind w:left="1350"/>
              <w:spacing w:after="0"/>
              <w:rPr>
                <w:sz w:val="20"/>
                <w:szCs w:val="20"/>
                <w:color w:val="auto"/>
              </w:rPr>
            </w:pPr>
            <w:r>
              <w:rPr>
                <w:rFonts w:ascii="Arial" w:cs="Arial" w:eastAsia="Arial" w:hAnsi="Arial"/>
                <w:sz w:val="18"/>
                <w:szCs w:val="18"/>
                <w:color w:val="auto"/>
                <w:w w:val="99"/>
              </w:rPr>
              <w:t>CONSOLIDATED STATEMENTS OF COMPREHENSIVE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760" w:type="dxa"/>
            <w:vAlign w:val="bottom"/>
            <w:gridSpan w:val="2"/>
          </w:tcPr>
          <w:p>
            <w:pPr>
              <w:jc w:val="center"/>
              <w:ind w:right="130"/>
              <w:spacing w:after="0"/>
              <w:rPr>
                <w:sz w:val="20"/>
                <w:szCs w:val="20"/>
                <w:color w:val="auto"/>
              </w:rPr>
            </w:pPr>
            <w:r>
              <w:rPr>
                <w:rFonts w:ascii="Arial" w:cs="Arial" w:eastAsia="Arial" w:hAnsi="Arial"/>
                <w:sz w:val="18"/>
                <w:szCs w:val="18"/>
                <w:color w:val="auto"/>
                <w:w w:val="99"/>
              </w:rPr>
              <w:t>(in thousands)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98"/>
        </w:trPr>
        <w:tc>
          <w:tcPr>
            <w:tcW w:w="1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60" w:type="dxa"/>
            <w:vAlign w:val="bottom"/>
          </w:tcPr>
          <w:p>
            <w:pPr>
              <w:spacing w:after="0"/>
              <w:rPr>
                <w:sz w:val="24"/>
                <w:szCs w:val="24"/>
                <w:color w:val="auto"/>
              </w:rPr>
            </w:pPr>
          </w:p>
        </w:tc>
      </w:tr>
      <w:tr>
        <w:trPr>
          <w:trHeight w:val="235"/>
        </w:trPr>
        <w:tc>
          <w:tcPr>
            <w:tcW w:w="140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75,629</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30"/>
        </w:trPr>
        <w:tc>
          <w:tcPr>
            <w:tcW w:w="4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Adjustment to postretirement benefit liability, net of tax</w:t>
            </w:r>
          </w:p>
        </w:tc>
        <w:tc>
          <w:tcPr>
            <w:tcW w:w="1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w:t>
            </w:r>
          </w:p>
        </w:tc>
        <w:tc>
          <w:tcPr>
            <w:tcW w:w="14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111,851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78,787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78,277</w:t>
            </w:r>
          </w:p>
        </w:tc>
      </w:tr>
      <w:tr>
        <w:trPr>
          <w:trHeight w:val="21"/>
        </w:trPr>
        <w:tc>
          <w:tcPr>
            <w:tcW w:w="1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580" w:type="dxa"/>
            <w:vAlign w:val="bottom"/>
          </w:tcPr>
          <w:p>
            <w:pPr>
              <w:jc w:val="center"/>
              <w:ind w:left="1770"/>
              <w:spacing w:after="0"/>
              <w:rPr>
                <w:sz w:val="20"/>
                <w:szCs w:val="20"/>
                <w:color w:val="auto"/>
              </w:rPr>
            </w:pPr>
            <w:r>
              <w:rPr>
                <w:rFonts w:ascii="Arial" w:cs="Arial" w:eastAsia="Arial" w:hAnsi="Arial"/>
                <w:sz w:val="18"/>
                <w:szCs w:val="18"/>
                <w:color w:val="auto"/>
                <w:w w:val="99"/>
              </w:rPr>
              <w:t>GIBRALTAR INDUSTRIES, INC.</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580" w:type="dxa"/>
            <w:vAlign w:val="bottom"/>
          </w:tcPr>
          <w:p>
            <w:pPr>
              <w:jc w:val="center"/>
              <w:ind w:left="1790"/>
              <w:spacing w:after="0"/>
              <w:rPr>
                <w:sz w:val="20"/>
                <w:szCs w:val="20"/>
                <w:color w:val="auto"/>
              </w:rPr>
            </w:pPr>
            <w:r>
              <w:rPr>
                <w:rFonts w:ascii="Arial" w:cs="Arial" w:eastAsia="Arial" w:hAnsi="Arial"/>
                <w:sz w:val="18"/>
                <w:szCs w:val="18"/>
                <w:color w:val="auto"/>
                <w:w w:val="99"/>
              </w:rPr>
              <w:t>CONSOLIDATED BALANCE SHEETS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580" w:type="dxa"/>
            <w:vAlign w:val="bottom"/>
          </w:tcPr>
          <w:p>
            <w:pPr>
              <w:jc w:val="center"/>
              <w:ind w:left="1790"/>
              <w:spacing w:after="0"/>
              <w:rPr>
                <w:sz w:val="20"/>
                <w:szCs w:val="20"/>
                <w:color w:val="auto"/>
              </w:rPr>
            </w:pPr>
            <w:r>
              <w:rPr>
                <w:rFonts w:ascii="Arial" w:cs="Arial" w:eastAsia="Arial" w:hAnsi="Arial"/>
                <w:sz w:val="18"/>
                <w:szCs w:val="18"/>
                <w:color w:val="auto"/>
                <w:w w:val="99"/>
              </w:rPr>
              <w:t>(in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14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tcPr>
          <w:p>
            <w:pPr>
              <w:spacing w:after="0"/>
              <w:rPr>
                <w:sz w:val="21"/>
                <w:szCs w:val="21"/>
                <w:color w:val="auto"/>
              </w:rPr>
            </w:pPr>
          </w:p>
        </w:tc>
        <w:tc>
          <w:tcPr>
            <w:tcW w:w="65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 of allowance of $5,572 and $3,746, respectively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217,156</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170,360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18,813</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423,937</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107,603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109,584</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513,383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512,363</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 intangibles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137,526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8"/>
        </w:trPr>
        <w:tc>
          <w:tcPr>
            <w:tcW w:w="140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1,210,613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92,124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106,582</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Billings in excess of costs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35,017</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215,320</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88,762</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47,088</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35,989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19,041</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$0.01 par value; authorized 10,000 shares; none outstanding</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98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Common stock, $0.01 par value; authorized 100,000 shares; 34,219 and 34,060 shares issued</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7980" w:type="dxa"/>
            <w:vAlign w:val="bottom"/>
            <w:gridSpan w:val="2"/>
          </w:tcPr>
          <w:p>
            <w:pPr>
              <w:ind w:left="680"/>
              <w:spacing w:after="0"/>
              <w:rPr>
                <w:sz w:val="20"/>
                <w:szCs w:val="20"/>
                <w:color w:val="auto"/>
              </w:rPr>
            </w:pPr>
            <w:r>
              <w:rPr>
                <w:rFonts w:ascii="Arial" w:cs="Arial" w:eastAsia="Arial" w:hAnsi="Arial"/>
                <w:sz w:val="18"/>
                <w:szCs w:val="18"/>
                <w:color w:val="auto"/>
              </w:rPr>
              <w:t>and outstanding in 2023 and 2022</w:t>
            </w:r>
          </w:p>
        </w:tc>
        <w:tc>
          <w:tcPr>
            <w:tcW w:w="16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322,873</w:t>
            </w:r>
          </w:p>
        </w:tc>
        <w:tc>
          <w:tcPr>
            <w:tcW w:w="0" w:type="dxa"/>
            <w:vAlign w:val="bottom"/>
          </w:tcPr>
          <w:p>
            <w:pPr>
              <w:spacing w:after="0"/>
              <w:rPr>
                <w:sz w:val="1"/>
                <w:szCs w:val="1"/>
                <w:color w:val="auto"/>
              </w:rPr>
            </w:pPr>
          </w:p>
        </w:tc>
      </w:tr>
      <w:tr>
        <w:trPr>
          <w:trHeight w:val="230"/>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738,511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627,978</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Cost of 3,778 and 3,199 common shares held in treasury in 2023 and 2022</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(125,660)</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822,099</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1,256,451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1,210,613</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5660" w:type="dxa"/>
            <w:vAlign w:val="bottom"/>
            <w:gridSpan w:val="2"/>
          </w:tcPr>
          <w:p>
            <w:pPr>
              <w:jc w:val="center"/>
              <w:ind w:left="2690"/>
              <w:spacing w:after="0"/>
              <w:rPr>
                <w:sz w:val="20"/>
                <w:szCs w:val="20"/>
                <w:color w:val="auto"/>
              </w:rPr>
            </w:pPr>
            <w:r>
              <w:rPr>
                <w:rFonts w:ascii="Arial" w:cs="Arial" w:eastAsia="Arial" w:hAnsi="Arial"/>
                <w:sz w:val="18"/>
                <w:szCs w:val="18"/>
                <w:color w:val="auto"/>
                <w:w w:val="99"/>
              </w:rPr>
              <w:t>GIBRALTAR INDUSTRIES, INC.</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gridSpan w:val="4"/>
          </w:tcPr>
          <w:p>
            <w:pPr>
              <w:jc w:val="center"/>
              <w:ind w:left="1550"/>
              <w:spacing w:after="0"/>
              <w:rPr>
                <w:sz w:val="20"/>
                <w:szCs w:val="20"/>
                <w:color w:val="auto"/>
              </w:rPr>
            </w:pPr>
            <w:r>
              <w:rPr>
                <w:rFonts w:ascii="Arial" w:cs="Arial" w:eastAsia="Arial" w:hAnsi="Arial"/>
                <w:sz w:val="18"/>
                <w:szCs w:val="18"/>
                <w:color w:val="auto"/>
                <w:w w:val="99"/>
              </w:rPr>
              <w:t>CONSOLIDATED STATEMENTS OF CASH FLOWS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5260" w:type="dxa"/>
            <w:vAlign w:val="bottom"/>
          </w:tcPr>
          <w:p>
            <w:pPr>
              <w:jc w:val="center"/>
              <w:ind w:left="311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75,629</w:t>
            </w: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74,516</w:t>
            </w: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31,966</w:t>
            </w:r>
          </w:p>
        </w:tc>
        <w:tc>
          <w:tcPr>
            <w:tcW w:w="0" w:type="dxa"/>
            <w:vAlign w:val="bottom"/>
          </w:tcPr>
          <w:p>
            <w:pPr>
              <w:spacing w:after="0"/>
              <w:rPr>
                <w:sz w:val="1"/>
                <w:szCs w:val="1"/>
                <w:color w:val="auto"/>
              </w:rPr>
            </w:pPr>
          </w:p>
        </w:tc>
      </w:tr>
      <w:tr>
        <w:trPr>
          <w:trHeight w:val="229"/>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Intangible asset impairment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Stock compensation expense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29"/>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Exit activity costs, non-cash</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Provision for deferred income taxes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30"/>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(41,887)</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(85,763)</w:t>
            </w:r>
          </w:p>
        </w:tc>
        <w:tc>
          <w:tcPr>
            <w:tcW w:w="0" w:type="dxa"/>
            <w:vAlign w:val="bottom"/>
          </w:tcPr>
          <w:p>
            <w:pPr>
              <w:spacing w:after="0"/>
              <w:rPr>
                <w:sz w:val="1"/>
                <w:szCs w:val="1"/>
                <w:color w:val="auto"/>
              </w:rPr>
            </w:pPr>
          </w:p>
        </w:tc>
      </w:tr>
      <w:tr>
        <w:trPr>
          <w:trHeight w:val="229"/>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Other current assets and other assets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38,367</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Accrued expenses and other non-current liabilities</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(14,384)</w:t>
            </w:r>
          </w:p>
        </w:tc>
        <w:tc>
          <w:tcPr>
            <w:tcW w:w="0" w:type="dxa"/>
            <w:vAlign w:val="bottom"/>
          </w:tcPr>
          <w:p>
            <w:pPr>
              <w:spacing w:after="0"/>
              <w:rPr>
                <w:sz w:val="1"/>
                <w:szCs w:val="1"/>
                <w:color w:val="auto"/>
              </w:rPr>
            </w:pPr>
          </w:p>
        </w:tc>
      </w:tr>
      <w:tr>
        <w:trPr>
          <w:trHeight w:val="223"/>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25,072</w:t>
            </w: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Net cash used in operating activities of discontinued operations</w:t>
            </w:r>
          </w:p>
        </w:tc>
        <w:tc>
          <w:tcPr>
            <w:tcW w:w="4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218,476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23,070</w:t>
            </w:r>
          </w:p>
        </w:tc>
        <w:tc>
          <w:tcPr>
            <w:tcW w:w="0" w:type="dxa"/>
            <w:vAlign w:val="bottom"/>
          </w:tcPr>
          <w:p>
            <w:pPr>
              <w:spacing w:after="0"/>
              <w:rPr>
                <w:sz w:val="1"/>
                <w:szCs w:val="1"/>
                <w:color w:val="auto"/>
              </w:rPr>
            </w:pPr>
          </w:p>
        </w:tc>
      </w:tr>
      <w:tr>
        <w:trPr>
          <w:trHeight w:val="210"/>
        </w:trPr>
        <w:tc>
          <w:tcPr>
            <w:tcW w:w="66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Purchases of property, plant, and equipment, net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0" w:type="dxa"/>
            <w:vAlign w:val="bottom"/>
          </w:tcPr>
          <w:p>
            <w:pPr>
              <w:spacing w:after="0"/>
              <w:rPr>
                <w:sz w:val="1"/>
                <w:szCs w:val="1"/>
                <w:color w:val="auto"/>
              </w:rPr>
            </w:pPr>
          </w:p>
        </w:tc>
      </w:tr>
      <w:tr>
        <w:trPr>
          <w:trHeight w:val="229"/>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proceeds from sale of business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38,062</w:t>
            </w:r>
          </w:p>
        </w:tc>
        <w:tc>
          <w:tcPr>
            <w:tcW w:w="0" w:type="dxa"/>
            <w:vAlign w:val="bottom"/>
          </w:tcPr>
          <w:p>
            <w:pPr>
              <w:spacing w:after="0"/>
              <w:rPr>
                <w:sz w:val="1"/>
                <w:szCs w:val="1"/>
                <w:color w:val="auto"/>
              </w:rPr>
            </w:pP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Net cash (used in) provided by investing activities of continuing operations</w:t>
            </w: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(15,722)</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(71,683)</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24,714</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 of discontinued operations</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(15,722)</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(71,683)</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24,538</w:t>
            </w: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Long-term debt payments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(120,636)</w:t>
            </w: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Proceeds from long-term debt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0" w:type="dxa"/>
            <w:vAlign w:val="bottom"/>
          </w:tcPr>
          <w:p>
            <w:pPr>
              <w:spacing w:after="0"/>
              <w:rPr>
                <w:sz w:val="1"/>
                <w:szCs w:val="1"/>
                <w:color w:val="auto"/>
              </w:rPr>
            </w:pPr>
          </w:p>
        </w:tc>
      </w:tr>
      <w:tr>
        <w:trPr>
          <w:trHeight w:val="230"/>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Payment of debt issuance costs</w:t>
            </w:r>
          </w:p>
        </w:tc>
        <w:tc>
          <w:tcPr>
            <w:tcW w:w="4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Purchase of common stock at market prices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0" w:type="dxa"/>
            <w:vAlign w:val="bottom"/>
          </w:tcPr>
          <w:p>
            <w:pPr>
              <w:spacing w:after="0"/>
              <w:rPr>
                <w:sz w:val="1"/>
                <w:szCs w:val="1"/>
                <w:color w:val="auto"/>
              </w:rPr>
            </w:pPr>
          </w:p>
        </w:tc>
      </w:tr>
      <w:tr>
        <w:trPr>
          <w:trHeight w:val="230"/>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Net proceeds from issuance of common stock</w:t>
            </w:r>
          </w:p>
        </w:tc>
        <w:tc>
          <w:tcPr>
            <w:tcW w:w="4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(66,612)</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(19,205)</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32,054</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rPr>
              <w:t>Additional</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Accumulated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center"/>
              <w:ind w:right="6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740" w:type="dxa"/>
            <w:vAlign w:val="bottom"/>
            <w:gridSpan w:val="5"/>
            <w:vMerge w:val="restart"/>
          </w:tcPr>
          <w:p>
            <w:pPr>
              <w:ind w:left="260"/>
              <w:spacing w:after="0"/>
              <w:rPr>
                <w:sz w:val="20"/>
                <w:szCs w:val="20"/>
                <w:color w:val="auto"/>
              </w:rPr>
            </w:pPr>
            <w:r>
              <w:rPr>
                <w:rFonts w:ascii="Arial" w:cs="Arial" w:eastAsia="Arial" w:hAnsi="Arial"/>
                <w:sz w:val="15"/>
                <w:szCs w:val="15"/>
                <w:b w:val="1"/>
                <w:bCs w:val="1"/>
                <w:color w:val="auto"/>
              </w:rPr>
              <w:t>Common Stock</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Retained</w:t>
            </w: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5"/>
                <w:szCs w:val="15"/>
                <w:b w:val="1"/>
                <w:bCs w:val="1"/>
                <w:color w:val="auto"/>
              </w:rPr>
              <w:t>Other</w:t>
            </w:r>
          </w:p>
        </w:tc>
        <w:tc>
          <w:tcPr>
            <w:tcW w:w="1920" w:type="dxa"/>
            <w:vAlign w:val="bottom"/>
            <w:gridSpan w:val="5"/>
            <w:vMerge w:val="restart"/>
          </w:tcPr>
          <w:p>
            <w:pPr>
              <w:jc w:val="center"/>
              <w:ind w:right="100"/>
              <w:spacing w:after="0"/>
              <w:rPr>
                <w:sz w:val="20"/>
                <w:szCs w:val="20"/>
                <w:color w:val="auto"/>
              </w:rPr>
            </w:pPr>
            <w:r>
              <w:rPr>
                <w:rFonts w:ascii="Arial" w:cs="Arial" w:eastAsia="Arial" w:hAnsi="Arial"/>
                <w:sz w:val="15"/>
                <w:szCs w:val="15"/>
                <w:b w:val="1"/>
                <w:bCs w:val="1"/>
                <w:color w:val="auto"/>
              </w:rPr>
              <w:t>Treasury Stock</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Comprehensive</w:t>
            </w:r>
          </w:p>
        </w:tc>
        <w:tc>
          <w:tcPr>
            <w:tcW w:w="19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5"/>
                <w:szCs w:val="15"/>
                <w:b w:val="1"/>
                <w:bCs w:val="1"/>
                <w:color w:val="auto"/>
              </w:rPr>
              <w:t>Earnings</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(Loss) Income</w:t>
            </w:r>
          </w:p>
        </w:tc>
        <w:tc>
          <w:tcPr>
            <w:tcW w:w="840" w:type="dxa"/>
            <w:vAlign w:val="bottom"/>
            <w:tcBorders>
              <w:top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Shares</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4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33,568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336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304,870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469,943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(2,461)</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(28,883)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743,805</w:t>
            </w:r>
          </w:p>
        </w:tc>
        <w:tc>
          <w:tcPr>
            <w:tcW w:w="0" w:type="dxa"/>
            <w:vAlign w:val="bottom"/>
          </w:tcPr>
          <w:p>
            <w:pPr>
              <w:spacing w:after="0"/>
              <w:rPr>
                <w:sz w:val="1"/>
                <w:szCs w:val="1"/>
                <w:color w:val="auto"/>
              </w:rPr>
            </w:pPr>
          </w:p>
        </w:tc>
      </w:tr>
      <w:tr>
        <w:trPr>
          <w:trHeight w:val="201"/>
        </w:trPr>
        <w:tc>
          <w:tcPr>
            <w:tcW w:w="24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75,629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75,629</w:t>
            </w:r>
          </w:p>
        </w:tc>
        <w:tc>
          <w:tcPr>
            <w:tcW w:w="0" w:type="dxa"/>
            <w:vAlign w:val="bottom"/>
          </w:tcPr>
          <w:p>
            <w:pPr>
              <w:spacing w:after="0"/>
              <w:rPr>
                <w:sz w:val="1"/>
                <w:szCs w:val="1"/>
                <w:color w:val="auto"/>
              </w:rPr>
            </w:pPr>
          </w:p>
        </w:tc>
      </w:tr>
      <w:tr>
        <w:trPr>
          <w:trHeight w:val="150"/>
        </w:trPr>
        <w:tc>
          <w:tcPr>
            <w:tcW w:w="246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Foreign currency translation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2,512</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Arial" w:cs="Arial" w:eastAsia="Arial" w:hAnsi="Arial"/>
                <w:sz w:val="15"/>
                <w:szCs w:val="15"/>
                <w:color w:val="auto"/>
              </w:rPr>
              <w:t>Postretirement benefit plan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5"/>
                <w:szCs w:val="15"/>
                <w:color w:val="auto"/>
              </w:rPr>
              <w:t>adjustments, net of taxes of $43</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compensation expense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8,652</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Arial" w:cs="Arial" w:eastAsia="Arial" w:hAnsi="Arial"/>
                <w:sz w:val="15"/>
                <w:szCs w:val="15"/>
                <w:color w:val="auto"/>
              </w:rPr>
              <w:t>Net settlement of restricted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5"/>
                <w:szCs w:val="15"/>
                <w:color w:val="auto"/>
              </w:rPr>
              <w:t>units</w:t>
            </w:r>
          </w:p>
        </w:tc>
        <w:tc>
          <w:tcPr>
            <w:tcW w:w="720" w:type="dxa"/>
            <w:vAlign w:val="bottom"/>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(6,497)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(6,497)</w:t>
            </w: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Awards of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460" w:type="dxa"/>
            <w:vAlign w:val="bottom"/>
          </w:tcPr>
          <w:p>
            <w:pPr>
              <w:ind w:left="20"/>
              <w:spacing w:after="0"/>
              <w:rPr>
                <w:sz w:val="20"/>
                <w:szCs w:val="20"/>
                <w:color w:val="auto"/>
              </w:rPr>
            </w:pPr>
            <w:r>
              <w:rPr>
                <w:rFonts w:ascii="Arial" w:cs="Arial" w:eastAsia="Arial" w:hAnsi="Arial"/>
                <w:sz w:val="15"/>
                <w:szCs w:val="15"/>
                <w:color w:val="auto"/>
              </w:rPr>
              <w:t>Stock options exercised</w:t>
            </w:r>
          </w:p>
        </w:tc>
        <w:tc>
          <w:tcPr>
            <w:tcW w:w="72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1,021</w:t>
            </w:r>
          </w:p>
        </w:tc>
        <w:tc>
          <w:tcPr>
            <w:tcW w:w="0" w:type="dxa"/>
            <w:vAlign w:val="bottom"/>
          </w:tcPr>
          <w:p>
            <w:pPr>
              <w:spacing w:after="0"/>
              <w:rPr>
                <w:sz w:val="1"/>
                <w:szCs w:val="1"/>
                <w:color w:val="auto"/>
              </w:rPr>
            </w:pPr>
          </w:p>
        </w:tc>
      </w:tr>
      <w:tr>
        <w:trPr>
          <w:trHeight w:val="197"/>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33,799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314,541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545,572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187</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(35,380)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825,258</w:t>
            </w:r>
          </w:p>
        </w:tc>
        <w:tc>
          <w:tcPr>
            <w:tcW w:w="0" w:type="dxa"/>
            <w:vAlign w:val="bottom"/>
          </w:tcPr>
          <w:p>
            <w:pPr>
              <w:spacing w:after="0"/>
              <w:rPr>
                <w:sz w:val="1"/>
                <w:szCs w:val="1"/>
                <w:color w:val="auto"/>
              </w:rPr>
            </w:pPr>
          </w:p>
        </w:tc>
      </w:tr>
      <w:tr>
        <w:trPr>
          <w:trHeight w:val="201"/>
        </w:trPr>
        <w:tc>
          <w:tcPr>
            <w:tcW w:w="24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82,406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82,406</w:t>
            </w:r>
          </w:p>
        </w:tc>
        <w:tc>
          <w:tcPr>
            <w:tcW w:w="0" w:type="dxa"/>
            <w:vAlign w:val="bottom"/>
          </w:tcPr>
          <w:p>
            <w:pPr>
              <w:spacing w:after="0"/>
              <w:rPr>
                <w:sz w:val="1"/>
                <w:szCs w:val="1"/>
                <w:color w:val="auto"/>
              </w:rPr>
            </w:pPr>
          </w:p>
        </w:tc>
      </w:tr>
      <w:tr>
        <w:trPr>
          <w:trHeight w:val="150"/>
        </w:trPr>
        <w:tc>
          <w:tcPr>
            <w:tcW w:w="246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Foreign currency translation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(5,022)</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Arial" w:cs="Arial" w:eastAsia="Arial" w:hAnsi="Arial"/>
                <w:sz w:val="15"/>
                <w:szCs w:val="15"/>
                <w:color w:val="auto"/>
              </w:rPr>
              <w:t>Postretirement benefit plan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5"/>
                <w:szCs w:val="15"/>
                <w:color w:val="auto"/>
              </w:rPr>
              <w:t>adjustments, net of taxes of $449</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1,403</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1,403</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compensation expense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8,334</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Arial" w:cs="Arial" w:eastAsia="Arial" w:hAnsi="Arial"/>
                <w:sz w:val="15"/>
                <w:szCs w:val="15"/>
                <w:color w:val="auto"/>
              </w:rPr>
              <w:t>Net settlement of restricted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5"/>
                <w:szCs w:val="15"/>
                <w:color w:val="auto"/>
              </w:rPr>
              <w:t>units</w:t>
            </w:r>
          </w:p>
        </w:tc>
        <w:tc>
          <w:tcPr>
            <w:tcW w:w="720" w:type="dxa"/>
            <w:vAlign w:val="bottom"/>
          </w:tcPr>
          <w:p>
            <w:pPr>
              <w:jc w:val="right"/>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(4,404)</w:t>
            </w: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Awards of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Arial" w:cs="Arial" w:eastAsia="Arial" w:hAnsi="Arial"/>
                <w:sz w:val="15"/>
                <w:szCs w:val="15"/>
                <w:color w:val="auto"/>
              </w:rPr>
              <w:t>Common stock repurchased under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5"/>
                <w:szCs w:val="15"/>
                <w:color w:val="auto"/>
              </w:rPr>
              <w:t>stock repurchase program</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(85,876)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(85,876)</w:t>
            </w:r>
          </w:p>
        </w:tc>
        <w:tc>
          <w:tcPr>
            <w:tcW w:w="0" w:type="dxa"/>
            <w:vAlign w:val="bottom"/>
          </w:tcPr>
          <w:p>
            <w:pPr>
              <w:spacing w:after="0"/>
              <w:rPr>
                <w:sz w:val="1"/>
                <w:szCs w:val="1"/>
                <w:color w:val="auto"/>
              </w:rPr>
            </w:pPr>
          </w:p>
        </w:tc>
      </w:tr>
      <w:tr>
        <w:trPr>
          <w:trHeight w:val="19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34,060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322,873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627,978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(3,432)</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(125,660)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822,099</w:t>
            </w:r>
          </w:p>
        </w:tc>
        <w:tc>
          <w:tcPr>
            <w:tcW w:w="0" w:type="dxa"/>
            <w:vAlign w:val="bottom"/>
          </w:tcPr>
          <w:p>
            <w:pPr>
              <w:spacing w:after="0"/>
              <w:rPr>
                <w:sz w:val="1"/>
                <w:szCs w:val="1"/>
                <w:color w:val="auto"/>
              </w:rPr>
            </w:pPr>
          </w:p>
        </w:tc>
      </w:tr>
      <w:tr>
        <w:trPr>
          <w:trHeight w:val="201"/>
        </w:trPr>
        <w:tc>
          <w:tcPr>
            <w:tcW w:w="24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110,533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110,533</w:t>
            </w:r>
          </w:p>
        </w:tc>
        <w:tc>
          <w:tcPr>
            <w:tcW w:w="0" w:type="dxa"/>
            <w:vAlign w:val="bottom"/>
          </w:tcPr>
          <w:p>
            <w:pPr>
              <w:spacing w:after="0"/>
              <w:rPr>
                <w:sz w:val="1"/>
                <w:szCs w:val="1"/>
                <w:color w:val="auto"/>
              </w:rPr>
            </w:pPr>
          </w:p>
        </w:tc>
      </w:tr>
      <w:tr>
        <w:trPr>
          <w:trHeight w:val="150"/>
        </w:trPr>
        <w:tc>
          <w:tcPr>
            <w:tcW w:w="246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Foreign currency translation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1,204</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Arial" w:cs="Arial" w:eastAsia="Arial" w:hAnsi="Arial"/>
                <w:sz w:val="15"/>
                <w:szCs w:val="15"/>
                <w:color w:val="auto"/>
              </w:rPr>
              <w:t>Postretirement benefit plan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5"/>
                <w:szCs w:val="15"/>
                <w:color w:val="auto"/>
              </w:rPr>
              <w:t>adjustments, net of taxes of $36</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compensation expense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9,750</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Arial" w:cs="Arial" w:eastAsia="Arial" w:hAnsi="Arial"/>
                <w:sz w:val="15"/>
                <w:szCs w:val="15"/>
                <w:color w:val="auto"/>
              </w:rPr>
              <w:t>Net settlement of restricted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5"/>
                <w:szCs w:val="15"/>
                <w:color w:val="auto"/>
              </w:rPr>
              <w:t>units</w:t>
            </w:r>
          </w:p>
        </w:tc>
        <w:tc>
          <w:tcPr>
            <w:tcW w:w="720" w:type="dxa"/>
            <w:vAlign w:val="bottom"/>
          </w:tcPr>
          <w:p>
            <w:pPr>
              <w:jc w:val="right"/>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(3,362)</w:t>
            </w: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Awards of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line="149" w:lineRule="exact"/>
              <w:rPr>
                <w:sz w:val="20"/>
                <w:szCs w:val="20"/>
                <w:color w:val="auto"/>
              </w:rPr>
            </w:pPr>
            <w:r>
              <w:rPr>
                <w:rFonts w:ascii="Arial" w:cs="Arial" w:eastAsia="Arial" w:hAnsi="Arial"/>
                <w:sz w:val="15"/>
                <w:szCs w:val="15"/>
                <w:color w:val="auto"/>
              </w:rPr>
              <w:t>Excise tax on repurchase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5"/>
                <w:szCs w:val="15"/>
                <w:color w:val="auto"/>
              </w:rPr>
              <w:t>common shares</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51"/>
        </w:trPr>
        <w:tc>
          <w:tcPr>
            <w:tcW w:w="24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Common stock repurchased under</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repurchase program</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(25,181)</w:t>
            </w: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2023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34,219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342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332,621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738,511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(2,114)</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3,778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(154,362)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914,998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consolidated financial statements include the accounts of Gibraltar Industries, Inc. and subsidiaries (the "Company"). All intercompany accounts and transactions have been eliminated in 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amounts reported in the consolidated financial statements and accompanying notes. Actual results could differ from those estimates due to uncertainty in the current economic environment.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has four reportable segments: Renewables, Residential, Agtech and Infrastructure. For further disclosure regarding the Company's reportable segments, refer to Note 20 "Segment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Revenue is recognized when, or as, the Company transfers control of promised products or services to a customer in an amount that reflects the consideration the Company expects to be entitled in exchange for transferring those products or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 satisfied at a point in time and significant judgments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contracts with customers is recognized when the Company transfers control of the promised product at a point in time, which is determined when the customer has legal title and the significant risks and rewards of ownership of the asset, and the Company has a present right to payment for the product. The Company allocates the transaction price, which is generally the quoted price per terms of the contract and the consideration the Company expects to receive, to each performance obligation. These products are generally sold with rights of return and these contracts may provide other credits or incentives, which are accounted for as variable consideration. Sales returns, allowances, and customer incentives, including rebates, are treated as reductions to the sales transaction price and based largely on an assessment of all information (i.e., historical, current and forecasted) that is reasonably available to the Company, and estimated at contract inception and updated at the end of each reporting period as additional information becomes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 satisfied over time and significant judgments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 contract to construct an asset that the customer controls as it is being created or enhanced, or a promise to provide a product that has no alternative use to the Company and the Company has enforceable rights to payment, the Company recognizes revenue over time. For the contracts to construct a certain asset, the Company determines that the customer controls the asset while it is being constructed. For the contracts for products that have no alternative use and for which the Company has an enforceable right to payment, the Company identifies these products as products that are not a standard inventory item or the Company cannot readily direct the product to another customer for use without incurring a significant economic loss, or significant costs to rework the product.</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determines the transaction price for each contract based on the consideration the Company expects to receive for the promised products and services under the entire contract, which is generally the stated contract price based on an expected cost plus a margin.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above contracts with customers with respect to which the Company satisfies a performance obligation over time, the Company recognizes revenue based on the extent of progress towards completion of the performance obligation using the cost-to-cost measure of progress. Under the cost-to-cost measure of progress, the extent of progress toward completion is measured based on the ratio of costs incurred to date to the total estimated costs at completion of the performance obligation. Revenues are recognized proportionally as costs are incurred. Costs to fulfill a contract include all direct costs related to contract performance. Selling and administrative expenses are charged to operations as incurred. Provision for loss on an uncompleted performance obligation is recognized in the period in which such loss is determined.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regularly reviews the progress under the cost-to-cost method and any adjustments are recognized as necessary. Changes in estimates are recognized as they become known using the cumulative catch-up basis.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recognizes revenues from services contracts over time. The Company recognizes revenue over time during the term of the agreement as the customer is simultaneously receiving and consuming the benefits provided throughout the Company's performance. Therefore, due to control transferring over time, the Company recognizes revenue on a straight-line basis throughout the contract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Contract assets primarily represents revenue recognized for performance obligations that have been satisfied but for which amounts receivable have not been billed. These are included as current assets and included within accounts receivable on the Company's consolidated balance sheets. Contract liabilities include payments received from customers in advance of the satisfaction of performance obligations for a contract. The Company does not consider contract advances to be significant financing components as the intent of these payments in advance are for reasons other than providing a significant financing benefit and are customary in the Company's industry. Unearned revenue relates to payments received in advance of performance under the contract and is recognized when the Company performs under the contract. Unearned revenue is presented within accrued expenses in the Company's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recognizes an asset for the incremental costs of obtaining a contract with a customer if the Company expects the benefit of those costs to be longer than one year. If the amortization period of the asset is one year or less, the Company recognizes the incremental costs of obtaining a contract as an expense when incurred. These incremental costs include, but are not limited to, sales commissions incurred to obtain a contract with a customer.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investments with a maturity of three months or less are considered 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 and contract assets</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Accounts receivable are composed of trade and contract receivables recorded at either the invoiced amount or costs in excess of billings, are expected to be collected within one year, and do not bear interest.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expected loss allowance methodology for accounts receivable and costs in excess of billings (collectively "accounts receivable") is developed using historical collection experience, current and future economic and market conditions, and a review of the current status of customers' accounts receivables. The Company is exposed to credit losses through sales of products and services. Due to the short-term nature of such accounts receivable, the estimated amount of accounts receivable that may not be collected is based on aging of the accounts receivable balances. Additionally, specific allowance amounts are established to record the appropriate provision for customers that no longer share risk characteristics similar with other accounts receivable. The Company’s monitoring activities include timely account reconciliation, dispute resolution, payment confirmation, consideration of customers' financial condition and macroeconomic conditions. Balances are written off when determined to be uncollectible after all means of collection have been exhausted and the potential for recovery is considered remote.</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Estimates are used to determine the allowance. These estimates are based on assessment of anticipated payment and all other historical, current and future information that is reasonably available.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activity recorded within the allowance for doubtful accounts and contract assets balances for the years ended December 31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2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7"/>
              </w:rPr>
              <w:t>3,746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7"/>
              </w:rPr>
              <w:t>3,738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Bad debt expense, net of recoveries</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center"/>
              <w:ind w:left="330"/>
              <w:spacing w:after="0"/>
              <w:rPr>
                <w:sz w:val="20"/>
                <w:szCs w:val="20"/>
                <w:color w:val="auto"/>
              </w:rPr>
            </w:pPr>
            <w:r>
              <w:rPr>
                <w:rFonts w:ascii="Arial" w:cs="Arial" w:eastAsia="Arial" w:hAnsi="Arial"/>
                <w:sz w:val="18"/>
                <w:szCs w:val="18"/>
                <w:color w:val="auto"/>
                <w:w w:val="97"/>
              </w:rPr>
              <w:t>3,148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center"/>
              <w:ind w:left="330"/>
              <w:spacing w:after="0"/>
              <w:rPr>
                <w:sz w:val="20"/>
                <w:szCs w:val="20"/>
                <w:color w:val="auto"/>
              </w:rPr>
            </w:pPr>
            <w:r>
              <w:rPr>
                <w:rFonts w:ascii="Arial" w:cs="Arial" w:eastAsia="Arial" w:hAnsi="Arial"/>
                <w:sz w:val="18"/>
                <w:szCs w:val="18"/>
                <w:color w:val="auto"/>
                <w:w w:val="97"/>
              </w:rPr>
              <w:t>1,221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against allowance and other adjustments</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8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7"/>
              </w:rPr>
              <w:t>5,572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7"/>
              </w:rPr>
              <w:t>3,746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1880" w:type="dxa"/>
            <w:vAlign w:val="bottom"/>
            <w:vMerge w:val="restart"/>
          </w:tcPr>
          <w:p>
            <w:pPr>
              <w:jc w:val="right"/>
              <w:ind w:right="1290"/>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52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Concentrations of credit risk in accounts receivable are limited to those from significant customers that are believed to be financially sound. As of December 31, 2023 and 2022, the Company's most significant customer is a home improvement retailer. The home improvement retailer purchases from the Residential segment. Accounts receivable as a percentage of consolidated accounts receivable from the home improvement retailer was 13% and 14% as of December 31, 2023 and 2022, respectively. Net sales to the home improvement retailer as a percentage of consolidated net sales were 13%, 14%, and 13% during the years ended December 31, 2023, 2022 and 2021,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Inventories are valued at the lower of cost or net realizable value. Cost is determined using either the first-in, first-out method or the average costing method. Shipping and handling costs are recognized as a component of cost of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and equipment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Property, plant, and equipment are stated at cost and depreciated over their estimated useful lives using the straight-line method. Interest is capitalized in connection with construction of qualified assets. Expenditures that exceed an established dollar threshold and that extend the useful lives of assets are capitalized, while repair and maintenance costs are expensed as incurred. The estimated useful lives of land improvements, buildings, and building improvements are 15 to 40 years, while the estimated useful lives for machinery and equipment are 3 to 20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depreciation expense recognized during the years ended December 31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5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related assets and liabilities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Accounting for the acquisition of a business as a purchase transaction requires an allocation of the purchase price to the assets acquired and the liabilities assumed in the transaction at their respective estimated fair values. The most complex estimations of individual fair values are those involving long-lived assets, such as property, plant, and equipment and intangible assets. The Company uses all available information to make these fair value determinations and engages independent valuation specialists to assist in the fair value determination of the acquired long-lived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 assets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tests goodwill for impairment at the reporting unit level on an annual basis at October 31, or more frequently if an event occurs, or circumstances change, that indicate that the fair value of a reporting unit could be below its carrying value. The reporting units are at the component level, or one level below the operating segment level. Goodwill is assigned to each reporting unit as of the date the reporting unit is acquired.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may elect to perform a qualitative assessment that considers economic, industry and company-specific factors for some or all of the Company's selected reporting units. If, after completing the assessment, it is determined that it is more likely than not that the fair value of a reporting unit is less than its carrying value, the Company proceeds to a quantitative test. The Company may also elect to perform a quantitative test instead of a qualitative test for any or all of the Company's reporting units.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quantitative impairment test consists of comparing the fair value of a reporting unit, determined using two valuation techniques, to its carrying value. If the carrying value of the reporting unit exceeds its fair value, goodwill is considered impaired, and a loss measured by the excess of the carrying value of the reporting unit over the fair value of the reporting unit must be recorded.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tests its indefinite-lived intangible assets for impairment on an annual basis as of October 31, or more frequently if an event occurs, or circumstances change, that indicate that the fair value of an indefinite-lived intangible asset could be below its carrying value. The impairment test consists of comparing the fair value of the indefinite-lived intangible asset, determined using discounted cash flows on a relief-from-royalty basis, with its carrying amount. An impairment loss would be recognized for the carrying amount in excess of its fair value. Acquired identifiable intangible assets are recorded at cost. Identifiable intangible assets with finite useful lives 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amortized over their estimated useful lives. For additional disclosure of the Company's goodwill and other intangible assets refer to Note 7 "Goodwill and Related Intangible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Long-lived assets, including acquired identifiable intangible assets with finite useful lives, are reviewed for impairment whenever events or changes in circumstances indicate that the carrying amount of those assets may not be recoverable. In specific situations, when the Company has selected individual assets to be sold or scrapped, the Company obtains market value data for those specific assets and measures and records the impairment loss based on such data. Otherwise, the Company uses undiscounted cash flows to determine whether impairment exists and measures any impairment loss by approximating fair value using acceptable valuation techniques, including discounted cash flow models and third-party appraisals. For additional disclosure on impairment of the Company's long-lived assets refer to Note 7 "Goodwill and Related Intangible Assets," Note 14 "Discontinued Operations" and Note 15 "Exit Activity Costs and Asset Impairments."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determines if an agreement is, or contains, a lease at the inception of the agreement. At lease commencement, the Company recognizes a right-of-use asset and a lease liability for leases with terms greater than twelve months. The initial lease liability is recognized at the present value of remaining lease payments over the lease term. Leases with an initial term of twelve months or less are not recorded on the Company's consolidated balance sheets. The Company recognizes lease expense for operating leases on a straight-line basis over the lease term. The Company combines lease and non-lease components, such as common area maintenance costs, in calculating the related asset and lease liabilities for all underlying asset groups. Operating lease cost is included in income from operations and includes short-term leases and variable lease costs which are immaterial. Current operating lease liabilities are represented within accrued expenses on the Company's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charges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Deferred charges associated with initial costs incurred to enter into new debt arrangements are included as a component of long-term debt and are amortized as a part of interest expense over the terms of the associated debt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expenses advertising and marketing costs as incurred. For the years ended December 31, 2023, 2022 and 2021, advertising and marketing costs were $10.0 million, $10.9 million, and $8.0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transactions and translation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assets and liabilities of the Company’s foreign subsidiaries are translated into U.S. dollars at the rate of exchange in effect at the balance sheet date. Income and expense items are translated at the average exchange rates prevailing during the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provision for income taxes is determined using the asset and liability approach. Under this approach, deferred income taxes represent the expected future tax consequences of temporary differences between the carrying amounts and tax basis of assets and liabilities. The Company records a valuation allowance to reduce deferred tax assets when uncertainty exists regarding their realization.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Equity-based compensation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measures the cost of equity-based compensation based on grant date fair value and recognizes the cost over the period in which the employee is required to provide service in exchange for the award reduced by forfeitures. Equity-based compensation consists of grants of stock options, deferred stock units, common stock, restricted stock units, and performance stock units. Equity-based compensation expense is included as a component of selling, general, and administrative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is calculated by dividing net income by the weighted average number of common shares outstanding during the period. Diluted earnings per share is calculated by adjusting the weighted average number of common shares outstanding, as well as dilutive common shares which include shares issuable pursuant to equity based incentive compensation awards under the equity compensation plans described in Note 12 "Equity-Based Compensation."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8"/>
                <w:szCs w:val="18"/>
                <w:b w:val="1"/>
                <w:bCs w:val="1"/>
                <w:color w:val="auto"/>
              </w:rPr>
              <w:t>Financial Statement Effect or Other Significant</w:t>
            </w:r>
          </w:p>
        </w:tc>
      </w:tr>
      <w:tr>
        <w:trPr>
          <w:trHeight w:val="262"/>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Standard</w:t>
            </w: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Description</w:t>
            </w:r>
          </w:p>
        </w:tc>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Matters</w:t>
            </w:r>
          </w:p>
        </w:tc>
      </w:tr>
      <w:tr>
        <w:trPr>
          <w:trHeight w:val="218"/>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 No. 2023-07</w:t>
            </w: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November  2023,  the  Financial  Accounting</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 amendments in the ASU are effective for fiscal</w:t>
            </w: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Segment Reporting (Topic</w:t>
            </w: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Standards   Board   ("FASB")   issued   Accounting</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years beginning after December 15, 2023, and interim</w:t>
            </w: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280): Improvements to</w:t>
            </w: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Standard  Update  ("ASU")  No.  2023-07,  which</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periods within fiscal years beginning after December</w:t>
            </w: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Reportable Segment</w:t>
            </w: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requires a public entity to disclose significant segment</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15, 2024, with early adoption permitted. A public entity</w:t>
            </w: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Disclosures</w:t>
            </w: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 and other segment items on an annual and</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should  apply  the  amendments  in  this  ASU</w:t>
            </w:r>
          </w:p>
        </w:tc>
      </w:tr>
      <w:tr>
        <w:trPr>
          <w:trHeight w:val="216"/>
        </w:trPr>
        <w:tc>
          <w:tcPr>
            <w:tcW w:w="2260" w:type="dxa"/>
            <w:vAlign w:val="bottom"/>
            <w:shd w:val="clear" w:color="auto" w:fill="CCEEFF"/>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interim  basis  and  provide  in  interim  periods  all</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retrospectively to all prior periods presented in the</w:t>
            </w:r>
          </w:p>
        </w:tc>
      </w:tr>
      <w:tr>
        <w:trPr>
          <w:trHeight w:val="216"/>
        </w:trPr>
        <w:tc>
          <w:tcPr>
            <w:tcW w:w="2260" w:type="dxa"/>
            <w:vAlign w:val="bottom"/>
            <w:shd w:val="clear" w:color="auto" w:fill="CCEEFF"/>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disclosures about a reportable segment’s profit or loss</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 The Company expects this ASU</w:t>
            </w:r>
          </w:p>
        </w:tc>
      </w:tr>
      <w:tr>
        <w:trPr>
          <w:trHeight w:val="216"/>
        </w:trPr>
        <w:tc>
          <w:tcPr>
            <w:tcW w:w="2260" w:type="dxa"/>
            <w:vAlign w:val="bottom"/>
            <w:shd w:val="clear" w:color="auto" w:fill="CCEEFF"/>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assets  that  are  currently  required  annually.</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 only impact its disclosures with no impacts to the</w:t>
            </w:r>
          </w:p>
        </w:tc>
      </w:tr>
      <w:tr>
        <w:trPr>
          <w:trHeight w:val="216"/>
        </w:trPr>
        <w:tc>
          <w:tcPr>
            <w:tcW w:w="2260" w:type="dxa"/>
            <w:vAlign w:val="bottom"/>
            <w:shd w:val="clear" w:color="auto" w:fill="CCEEFF"/>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Additionally, it requires a public entity to disclose the</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Company's  results  of  operations,  cash  flows  and</w:t>
            </w:r>
          </w:p>
        </w:tc>
      </w:tr>
      <w:tr>
        <w:trPr>
          <w:trHeight w:val="216"/>
        </w:trPr>
        <w:tc>
          <w:tcPr>
            <w:tcW w:w="2260" w:type="dxa"/>
            <w:vAlign w:val="bottom"/>
            <w:shd w:val="clear" w:color="auto" w:fill="CCEEFF"/>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title and position of the Chief Operating Decision</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condition. The Company's planned date of</w:t>
            </w:r>
          </w:p>
        </w:tc>
      </w:tr>
      <w:tr>
        <w:trPr>
          <w:trHeight w:val="216"/>
        </w:trPr>
        <w:tc>
          <w:tcPr>
            <w:tcW w:w="2260" w:type="dxa"/>
            <w:vAlign w:val="bottom"/>
            <w:shd w:val="clear" w:color="auto" w:fill="CCEEFF"/>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Maker ("CODM"). The ASU does not change how a</w:t>
            </w: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adoption is January 1, 2024.</w:t>
            </w:r>
          </w:p>
        </w:tc>
      </w:tr>
      <w:tr>
        <w:trPr>
          <w:trHeight w:val="216"/>
        </w:trPr>
        <w:tc>
          <w:tcPr>
            <w:tcW w:w="2260" w:type="dxa"/>
            <w:vAlign w:val="bottom"/>
            <w:shd w:val="clear" w:color="auto" w:fill="CCEEFF"/>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public  entity  identifies  its  operating  segments,</w:t>
            </w:r>
          </w:p>
        </w:tc>
        <w:tc>
          <w:tcPr>
            <w:tcW w:w="442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aggregates  them,  or  applies  the  quantitative</w:t>
            </w:r>
          </w:p>
        </w:tc>
        <w:tc>
          <w:tcPr>
            <w:tcW w:w="4420" w:type="dxa"/>
            <w:vAlign w:val="bottom"/>
            <w:shd w:val="clear" w:color="auto" w:fill="CCEEFF"/>
          </w:tcPr>
          <w:p>
            <w:pPr>
              <w:spacing w:after="0"/>
              <w:rPr>
                <w:sz w:val="18"/>
                <w:szCs w:val="18"/>
                <w:color w:val="auto"/>
              </w:rPr>
            </w:pPr>
          </w:p>
        </w:tc>
      </w:tr>
      <w:tr>
        <w:trPr>
          <w:trHeight w:val="239"/>
        </w:trPr>
        <w:tc>
          <w:tcPr>
            <w:tcW w:w="2260" w:type="dxa"/>
            <w:vAlign w:val="bottom"/>
            <w:shd w:val="clear" w:color="auto" w:fill="CCEEFF"/>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thresholds to determine its reportable segments.</w:t>
            </w:r>
          </w:p>
        </w:tc>
        <w:tc>
          <w:tcPr>
            <w:tcW w:w="4420" w:type="dxa"/>
            <w:vAlign w:val="bottom"/>
            <w:shd w:val="clear" w:color="auto" w:fill="CCEEFF"/>
          </w:tcPr>
          <w:p>
            <w:pPr>
              <w:spacing w:after="0"/>
              <w:rPr>
                <w:sz w:val="20"/>
                <w:szCs w:val="20"/>
                <w:color w:val="auto"/>
              </w:rPr>
            </w:pPr>
          </w:p>
        </w:tc>
      </w:tr>
      <w:tr>
        <w:trPr>
          <w:trHeight w:val="23"/>
        </w:trPr>
        <w:tc>
          <w:tcPr>
            <w:tcW w:w="226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r>
    </w:tbl>
    <w:p>
      <w:pPr>
        <w:spacing w:after="0" w:line="8"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rPr>
          <w:sz w:val="20"/>
          <w:szCs w:val="20"/>
          <w:color w:val="auto"/>
        </w:rPr>
      </w:pPr>
      <w:r>
        <w:rPr>
          <w:rFonts w:ascii="Arial" w:cs="Arial" w:eastAsia="Arial" w:hAnsi="Arial"/>
          <w:sz w:val="18"/>
          <w:szCs w:val="18"/>
          <w:color w:val="auto"/>
        </w:rPr>
        <w:t>ASU No. 2023-09</w:t>
      </w:r>
    </w:p>
    <w:p>
      <w:pPr>
        <w:spacing w:after="0" w:line="27" w:lineRule="exact"/>
        <w:rPr>
          <w:sz w:val="20"/>
          <w:szCs w:val="20"/>
          <w:color w:val="auto"/>
        </w:rPr>
      </w:pPr>
    </w:p>
    <w:p>
      <w:pPr>
        <w:ind w:left="20"/>
        <w:spacing w:after="0" w:line="258" w:lineRule="auto"/>
        <w:rPr>
          <w:sz w:val="20"/>
          <w:szCs w:val="20"/>
          <w:color w:val="auto"/>
        </w:rPr>
      </w:pPr>
      <w:r>
        <w:rPr>
          <w:rFonts w:ascii="Arial" w:cs="Arial" w:eastAsia="Arial" w:hAnsi="Arial"/>
          <w:sz w:val="18"/>
          <w:szCs w:val="18"/>
          <w:i w:val="1"/>
          <w:iCs w:val="1"/>
          <w:color w:val="auto"/>
        </w:rPr>
        <w:t>Income Taxes (Topic 740): Improvements to Income Tax Disclosures</w:t>
      </w:r>
    </w:p>
    <w:p>
      <w:pPr>
        <w:spacing w:after="0" w:line="20" w:lineRule="exact"/>
        <w:rPr>
          <w:sz w:val="20"/>
          <w:szCs w:val="20"/>
          <w:color w:val="auto"/>
        </w:rPr>
      </w:pPr>
      <w:r>
        <w:rPr>
          <w:sz w:val="20"/>
          <w:szCs w:val="20"/>
          <w:color w:val="auto"/>
        </w:rPr>
        <w:br w:type="column"/>
      </w:r>
    </w:p>
    <w:p>
      <w:pPr>
        <w:spacing w:after="0"/>
        <w:tabs>
          <w:tab w:leader="none" w:pos="4460" w:val="left"/>
        </w:tabs>
        <w:rPr>
          <w:sz w:val="20"/>
          <w:szCs w:val="20"/>
          <w:color w:val="auto"/>
        </w:rPr>
      </w:pPr>
      <w:r>
        <w:rPr>
          <w:rFonts w:ascii="Arial" w:cs="Arial" w:eastAsia="Arial" w:hAnsi="Arial"/>
          <w:sz w:val="18"/>
          <w:szCs w:val="18"/>
          <w:color w:val="auto"/>
        </w:rPr>
        <w:t>In December 2023, the FASB issued ASU No. 2023-</w:t>
        <w:tab/>
        <w:t>For PBEs, the amendments in this ASU are effective</w:t>
      </w:r>
    </w:p>
    <w:p>
      <w:pPr>
        <w:spacing w:after="0" w:line="27"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09,  which  focuses  on  the  rate  reconciliation  and</w:t>
        <w:tab/>
        <w:t>for  annual  periods  beginning  after  December  15,</w:t>
      </w:r>
    </w:p>
    <w:p>
      <w:pPr>
        <w:spacing w:after="0" w:line="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income  taxes  paid.  This  ASU  requires  a  public</w:t>
        <w:tab/>
        <w:t>2024, with early adoption permitted. An entity may</w:t>
      </w:r>
    </w:p>
    <w:p>
      <w:pPr>
        <w:spacing w:after="0" w:line="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business entity ("PBE") to disclose, on an annual</w:t>
        <w:tab/>
        <w:t>apply the amendments in this ASU prospectively by</w:t>
      </w:r>
    </w:p>
    <w:p>
      <w:pPr>
        <w:spacing w:after="0" w:line="9" w:lineRule="exact"/>
        <w:rPr>
          <w:sz w:val="20"/>
          <w:szCs w:val="20"/>
          <w:color w:val="auto"/>
        </w:rPr>
      </w:pPr>
    </w:p>
    <w:p>
      <w:pPr>
        <w:spacing w:after="0"/>
        <w:tabs>
          <w:tab w:leader="none" w:pos="640" w:val="left"/>
          <w:tab w:leader="none" w:pos="920" w:val="left"/>
          <w:tab w:leader="none" w:pos="1640" w:val="left"/>
          <w:tab w:leader="none" w:pos="2120" w:val="left"/>
          <w:tab w:leader="none" w:pos="3340" w:val="left"/>
          <w:tab w:leader="none" w:pos="3960" w:val="left"/>
          <w:tab w:leader="none" w:pos="4460" w:val="left"/>
        </w:tabs>
        <w:rPr>
          <w:sz w:val="20"/>
          <w:szCs w:val="20"/>
          <w:color w:val="auto"/>
        </w:rPr>
      </w:pPr>
      <w:r>
        <w:rPr>
          <w:rFonts w:ascii="Arial" w:cs="Arial" w:eastAsia="Arial" w:hAnsi="Arial"/>
          <w:sz w:val="18"/>
          <w:szCs w:val="18"/>
          <w:color w:val="auto"/>
        </w:rPr>
        <w:t>basis,</w:t>
        <w:tab/>
        <w:t>a</w:t>
        <w:tab/>
        <w:t>tabular</w:t>
        <w:tab/>
        <w:t>rate</w:t>
        <w:tab/>
        <w:t>reconciliation</w:t>
        <w:tab/>
        <w:t>using</w:t>
        <w:tab/>
        <w:t>both</w:t>
        <w:tab/>
        <w:t>providing the revised disclosures for the period ending</w:t>
      </w:r>
    </w:p>
    <w:p>
      <w:pPr>
        <w:spacing w:after="0" w:line="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percentages and currency amounts, broken out into</w:t>
        <w:tab/>
        <w:t>December 31, 2025 and continuing to provide the pre-</w:t>
      </w:r>
    </w:p>
    <w:p>
      <w:pPr>
        <w:spacing w:after="0" w:line="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specified  categories  with  certain  reconciling  items</w:t>
        <w:tab/>
        <w:t>ASU disclosures for the prior periods, or may apply</w:t>
      </w:r>
    </w:p>
    <w:p>
      <w:pPr>
        <w:spacing w:after="0" w:line="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further broken out by nature and jurisdiction to the</w:t>
        <w:tab/>
        <w:t>the  amendments  retrospectively  by  providing  the</w:t>
      </w:r>
    </w:p>
    <w:p>
      <w:pPr>
        <w:spacing w:after="0" w:line="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extent those items exceed a specified threshold. In</w:t>
        <w:tab/>
        <w:t>revised  disclosures  for  all  period  presented.  The</w:t>
      </w:r>
    </w:p>
    <w:p>
      <w:pPr>
        <w:spacing w:after="0" w:line="9" w:lineRule="exact"/>
        <w:rPr>
          <w:sz w:val="20"/>
          <w:szCs w:val="20"/>
          <w:color w:val="auto"/>
        </w:rPr>
      </w:pPr>
    </w:p>
    <w:p>
      <w:pPr>
        <w:spacing w:after="0"/>
        <w:tabs>
          <w:tab w:leader="none" w:pos="4460" w:val="left"/>
          <w:tab w:leader="none" w:pos="5380" w:val="left"/>
          <w:tab w:leader="none" w:pos="6140" w:val="left"/>
          <w:tab w:leader="none" w:pos="6560" w:val="left"/>
          <w:tab w:leader="none" w:pos="7080" w:val="left"/>
          <w:tab w:leader="none" w:pos="7380" w:val="left"/>
          <w:tab w:leader="none" w:pos="7840" w:val="left"/>
          <w:tab w:leader="none" w:pos="8520" w:val="left"/>
        </w:tabs>
        <w:rPr>
          <w:sz w:val="20"/>
          <w:szCs w:val="20"/>
          <w:color w:val="auto"/>
        </w:rPr>
      </w:pPr>
      <w:r>
        <w:rPr>
          <w:rFonts w:ascii="Arial" w:cs="Arial" w:eastAsia="Arial" w:hAnsi="Arial"/>
          <w:sz w:val="18"/>
          <w:szCs w:val="18"/>
          <w:color w:val="auto"/>
        </w:rPr>
        <w:t>addition, all entities are required to disclose income</w:t>
        <w:tab/>
        <w:t>Company</w:t>
        <w:tab/>
        <w:t>expects</w:t>
        <w:tab/>
        <w:t>this</w:t>
        <w:tab/>
        <w:t>ASU</w:t>
        <w:tab/>
        <w:t>to</w:t>
        <w:tab/>
        <w:t>only</w:t>
        <w:tab/>
        <w:t>impact</w:t>
      </w:r>
      <w:r>
        <w:rPr>
          <w:sz w:val="20"/>
          <w:szCs w:val="20"/>
          <w:color w:val="auto"/>
        </w:rPr>
        <w:tab/>
      </w:r>
      <w:r>
        <w:rPr>
          <w:rFonts w:ascii="Arial" w:cs="Arial" w:eastAsia="Arial" w:hAnsi="Arial"/>
          <w:sz w:val="17"/>
          <w:szCs w:val="17"/>
          <w:color w:val="auto"/>
        </w:rPr>
        <w:t>the</w:t>
      </w:r>
    </w:p>
    <w:p>
      <w:pPr>
        <w:spacing w:after="0" w:line="9" w:lineRule="exact"/>
        <w:rPr>
          <w:sz w:val="20"/>
          <w:szCs w:val="20"/>
          <w:color w:val="auto"/>
        </w:rPr>
      </w:pPr>
    </w:p>
    <w:p>
      <w:pPr>
        <w:spacing w:after="0"/>
        <w:tabs>
          <w:tab w:leader="none" w:pos="4460" w:val="left"/>
          <w:tab w:leader="none" w:pos="5520" w:val="left"/>
          <w:tab w:leader="none" w:pos="6580" w:val="left"/>
          <w:tab w:leader="none" w:pos="7060" w:val="left"/>
          <w:tab w:leader="none" w:pos="7440" w:val="left"/>
          <w:tab w:leader="none" w:pos="8220" w:val="left"/>
          <w:tab w:leader="none" w:pos="8540" w:val="left"/>
        </w:tabs>
        <w:rPr>
          <w:sz w:val="20"/>
          <w:szCs w:val="20"/>
          <w:color w:val="auto"/>
        </w:rPr>
      </w:pPr>
      <w:r>
        <w:rPr>
          <w:rFonts w:ascii="Arial" w:cs="Arial" w:eastAsia="Arial" w:hAnsi="Arial"/>
          <w:sz w:val="18"/>
          <w:szCs w:val="18"/>
          <w:color w:val="auto"/>
        </w:rPr>
        <w:t>taxes paid, net of refunds received disaggregated by</w:t>
        <w:tab/>
        <w:t>Company's</w:t>
        <w:tab/>
        <w:t>disclosures</w:t>
        <w:tab/>
        <w:t>with</w:t>
        <w:tab/>
        <w:t>no</w:t>
        <w:tab/>
        <w:t>impacts</w:t>
        <w:tab/>
        <w:t>to</w:t>
      </w:r>
      <w:r>
        <w:rPr>
          <w:sz w:val="20"/>
          <w:szCs w:val="20"/>
          <w:color w:val="auto"/>
        </w:rPr>
        <w:tab/>
      </w:r>
      <w:r>
        <w:rPr>
          <w:rFonts w:ascii="Arial" w:cs="Arial" w:eastAsia="Arial" w:hAnsi="Arial"/>
          <w:sz w:val="17"/>
          <w:szCs w:val="17"/>
          <w:color w:val="auto"/>
        </w:rPr>
        <w:t>the</w:t>
      </w:r>
    </w:p>
    <w:p>
      <w:pPr>
        <w:spacing w:after="0" w:line="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federal, state/local, and foreign and by jurisdiction if</w:t>
        <w:tab/>
        <w:t>Company's results of operations, cash flows, and</w:t>
      </w:r>
    </w:p>
    <w:p>
      <w:pPr>
        <w:spacing w:after="0" w:line="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the  amount  is  at  least  5%  of  total  income  tax</w:t>
        <w:tab/>
        <w:t>financial condition. The Company's planned date of</w:t>
      </w:r>
    </w:p>
    <w:p>
      <w:pPr>
        <w:spacing w:after="0" w:line="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payments, net of refunds received.</w:t>
      </w:r>
      <w:r>
        <w:rPr>
          <w:sz w:val="20"/>
          <w:szCs w:val="20"/>
          <w:color w:val="auto"/>
        </w:rPr>
        <w:tab/>
      </w:r>
      <w:r>
        <w:rPr>
          <w:rFonts w:ascii="Arial" w:cs="Arial" w:eastAsia="Arial" w:hAnsi="Arial"/>
          <w:sz w:val="17"/>
          <w:szCs w:val="17"/>
          <w:color w:val="auto"/>
        </w:rPr>
        <w:t>adoption is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177800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280"/>
            <w:col w:w="8820"/>
          </w:cols>
          <w:pgMar w:left="320" w:top="122" w:right="339" w:bottom="1440" w:gutter="0" w:footer="0" w:header="0"/>
          <w:type w:val="continuous"/>
        </w:sectPr>
      </w:pPr>
    </w:p>
    <w:p>
      <w:pPr>
        <w:spacing w:after="0" w:line="3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determined that all other ASUs effective in or after 2023 that are not listed above are either not applicable or will not have a material impact on the Company's consolidated financial statements and related disclosures.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340" w:type="dxa"/>
            <w:vAlign w:val="bottom"/>
          </w:tcPr>
          <w:p>
            <w:pPr>
              <w:spacing w:after="0"/>
              <w:rPr>
                <w:sz w:val="20"/>
                <w:szCs w:val="20"/>
                <w:color w:val="auto"/>
              </w:rPr>
            </w:pPr>
            <w:r>
              <w:rPr>
                <w:rFonts w:ascii="Arial" w:cs="Arial" w:eastAsia="Arial" w:hAnsi="Arial"/>
                <w:sz w:val="18"/>
                <w:szCs w:val="18"/>
                <w:b w:val="1"/>
                <w:bCs w:val="1"/>
                <w:color w:val="auto"/>
              </w:rPr>
              <w:t>(2) ACCOUNTS RECEIVABLE, NET</w:t>
            </w:r>
          </w:p>
        </w:tc>
        <w:tc>
          <w:tcPr>
            <w:tcW w:w="1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316"/>
        </w:trPr>
        <w:tc>
          <w:tcPr>
            <w:tcW w:w="6340" w:type="dxa"/>
            <w:vAlign w:val="bottom"/>
          </w:tcPr>
          <w:p>
            <w:pPr>
              <w:spacing w:after="0"/>
              <w:rPr>
                <w:sz w:val="20"/>
                <w:szCs w:val="20"/>
                <w:color w:val="auto"/>
              </w:rPr>
            </w:pPr>
            <w:r>
              <w:rPr>
                <w:rFonts w:ascii="Arial" w:cs="Arial" w:eastAsia="Arial" w:hAnsi="Arial"/>
                <w:sz w:val="18"/>
                <w:szCs w:val="18"/>
                <w:color w:val="auto"/>
              </w:rPr>
              <w:t>Accounts receivable at December 31 consisted of the following (in thousands):</w:t>
            </w: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6"/>
        </w:trPr>
        <w:tc>
          <w:tcPr>
            <w:tcW w:w="634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2022</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179,170</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in excess of billings</w:t>
            </w:r>
          </w:p>
        </w:tc>
        <w:tc>
          <w:tcPr>
            <w:tcW w:w="1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41,732</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accounts receivables</w:t>
            </w:r>
          </w:p>
        </w:tc>
        <w:tc>
          <w:tcPr>
            <w:tcW w:w="1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220,902</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1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217,156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"Revenue" concerning the Company's costs in excess of billings.</w:t>
      </w:r>
    </w:p>
    <w:p>
      <w:pPr>
        <w:spacing w:after="0" w:line="200" w:lineRule="exact"/>
        <w:rPr>
          <w:sz w:val="20"/>
          <w:szCs w:val="20"/>
          <w:color w:val="auto"/>
        </w:rPr>
      </w:pPr>
    </w:p>
    <w:p>
      <w:pPr>
        <w:spacing w:after="0" w:line="295"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includes revenue from contracts with customers for designing, engineering, manufacturing and installation of solar racking systems; electrical balance of systems; roof and foundation ventilation products; centralized mail systems and electronic package solutions; rain dispersion products; trims and flashings and other accessories; retractable awnings; gutter guards; designing, engineering, manufacturing and installation of greenhouses; structural bearings; expansion joints; pavement sealant; elastomeric concrete; and bridge cable protection systems.</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Refer to Note 20 "Segment Information" for additional information related to revenue recognized by timing of transfer of control by reportable segment.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Payment terms and conditions vary by contract, although terms generally include a requirement of payment within a range from 30 to 60 days, or in certain cases, up front deposits. In circumstances where the timing of revenue recognition differs from the timing of invoicing, the Company has determined that the Company's contracts generally do not include a significant financing component. Taxes collected from customers, which are subsequently remitted to governmental authorities, are excluded from sales.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2023, the Company's remaining performance obligations are part of contracts that have an original expected duration of one year or less. Additionally, as of December 31, 2023 and 2022, there were no assets recognized related to incremental costs of obtaining a contract with a customer as the benefits of these costs are not expected to exceed one year.</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Contract assets consist of costs in excess of billings presented within accounts receivable in the Company's consolidated balance sheets. Contract liabilities consist of billings in excess of costs, classified as current liabilities, and unearned revenue, presented within accrued expenses, in the Company's consolidated balance sheets.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ending and beginning balances of costs in excess of billings, billings in excess of cost and unearned revenue, respectively, as of December 31 (in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7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 excess of billings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54,437</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Billings in excess of costs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(44,735)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(46,711)</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recognized during the years ended December 31, 2023, 2022, and 2021 that was in contract liabilities at the beginning of the respective periods was $35.5 million, $44.4 million, and $53.0 million, respectively.</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increase in costs in excess of billings as of December 31, 2023 compared to December 31, 2022 was primarily due to the timing of the Company’s right to invoice customers for performance satisfied near the end of 2023. The increase in billings in excess of costs as of December 31, 2023 compared to December 31, 2022 was primarily due to timing and an increase in number of contracts under which the Company has billed customers in advance of the satisfaction of performance obligations in the Renewables segment near the end of 2023. The decreases in costs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excess of billings and billings in excess of costs as of December 31, 2022 compared to December 31, 2021, respectively, were primarily due to decline in volume in the Renewables and Agtech segments in 2022 compared to 2021.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220" w:type="dxa"/>
            <w:vAlign w:val="bottom"/>
          </w:tcPr>
          <w:p>
            <w:pPr>
              <w:spacing w:after="0"/>
              <w:rPr>
                <w:sz w:val="20"/>
                <w:szCs w:val="20"/>
                <w:color w:val="auto"/>
              </w:rPr>
            </w:pPr>
            <w:r>
              <w:rPr>
                <w:rFonts w:ascii="Arial" w:cs="Arial" w:eastAsia="Arial" w:hAnsi="Arial"/>
                <w:sz w:val="18"/>
                <w:szCs w:val="18"/>
                <w:b w:val="1"/>
                <w:bCs w:val="1"/>
                <w:color w:val="auto"/>
              </w:rPr>
              <w:t>(4) INVENTORIES, NET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16"/>
        </w:trPr>
        <w:tc>
          <w:tcPr>
            <w:tcW w:w="8220" w:type="dxa"/>
            <w:vAlign w:val="bottom"/>
          </w:tcPr>
          <w:p>
            <w:pPr>
              <w:spacing w:after="0"/>
              <w:rPr>
                <w:sz w:val="20"/>
                <w:szCs w:val="20"/>
                <w:color w:val="auto"/>
              </w:rPr>
            </w:pPr>
            <w:r>
              <w:rPr>
                <w:rFonts w:ascii="Arial" w:cs="Arial" w:eastAsia="Arial" w:hAnsi="Arial"/>
                <w:sz w:val="18"/>
                <w:szCs w:val="18"/>
                <w:color w:val="auto"/>
              </w:rPr>
              <w:t>Inventories at December 31 consisted of the following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7"/>
        </w:trPr>
        <w:tc>
          <w:tcPr>
            <w:tcW w:w="8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17,944</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47,523</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Gross inventory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176,654</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170,360</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gross inventory balances are reduced by reserves for excess, obsolete and slow moving inventory and estimates for determining net realizable value of the inventory that are reported on a net basis on the Company's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recorded within the reserve for excess, obsolete and slow moving inventory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rPr>
              <w:t>6,179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Excess, obsolete and slow moving inventory expense</w:t>
            </w:r>
          </w:p>
        </w:tc>
        <w:tc>
          <w:tcPr>
            <w:tcW w:w="320" w:type="dxa"/>
            <w:vAlign w:val="bottom"/>
          </w:tcPr>
          <w:p>
            <w:pPr>
              <w:spacing w:after="0"/>
              <w:rPr>
                <w:sz w:val="19"/>
                <w:szCs w:val="19"/>
                <w:color w:val="auto"/>
              </w:rPr>
            </w:pPr>
          </w:p>
        </w:tc>
        <w:tc>
          <w:tcPr>
            <w:tcW w:w="1120" w:type="dxa"/>
            <w:vAlign w:val="bottom"/>
          </w:tcPr>
          <w:p>
            <w:pPr>
              <w:jc w:val="center"/>
              <w:ind w:left="450"/>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Scrapped inventory and other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8"/>
              </w:rPr>
              <w:t>(1,044)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rPr>
              <w:t>9,378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(5) PROPERTY, PLANT, AND EQUIPMENT, NET</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1"/>
        </w:trPr>
        <w:tc>
          <w:tcPr>
            <w:tcW w:w="6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540" w:type="dxa"/>
            <w:vAlign w:val="bottom"/>
            <w:gridSpan w:val="5"/>
          </w:tcPr>
          <w:p>
            <w:pPr>
              <w:spacing w:after="0"/>
              <w:rPr>
                <w:sz w:val="20"/>
                <w:szCs w:val="20"/>
                <w:color w:val="auto"/>
              </w:rPr>
            </w:pPr>
            <w:r>
              <w:rPr>
                <w:rFonts w:ascii="Arial" w:cs="Arial" w:eastAsia="Arial" w:hAnsi="Arial"/>
                <w:sz w:val="18"/>
                <w:szCs w:val="18"/>
                <w:color w:val="auto"/>
              </w:rPr>
              <w:t>Components of property, plant, and equipment at December 31 consisted of the following (in thousands):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6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43,416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223,843</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gross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285,028</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(175,444)</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9660" w:firstLine="8"/>
        <w:spacing w:after="0" w:line="360" w:lineRule="auto"/>
        <w:tabs>
          <w:tab w:leader="none" w:pos="27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u w:val="single" w:color="auto"/>
          <w:color w:val="auto"/>
        </w:rPr>
        <w:t>2023 Acquisition</w:t>
      </w:r>
    </w:p>
    <w:p>
      <w:pPr>
        <w:jc w:val="both"/>
        <w:spacing w:after="0" w:line="259" w:lineRule="auto"/>
        <w:rPr>
          <w:sz w:val="20"/>
          <w:szCs w:val="20"/>
          <w:color w:val="auto"/>
        </w:rPr>
      </w:pPr>
      <w:r>
        <w:rPr>
          <w:rFonts w:ascii="Arial" w:cs="Arial" w:eastAsia="Arial" w:hAnsi="Arial"/>
          <w:sz w:val="18"/>
          <w:szCs w:val="18"/>
          <w:color w:val="auto"/>
        </w:rPr>
        <w:t>On July 5, 2023, the Company acquired the assets of a privately held Utah-based company that manufactures and distributes roof flashing and accessory products, and sells direct to roofing wholesalers. The results of this acquisition have been included in the Company's consolidated financial results since the date of acquisition within the Company's Residential segment. The preliminary purchase consideration for this acquisition was $10.4 million, which includes a preliminary working capital adjustment and certain other adjustments provided for in the asset purchase agreement.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purchase price for the acquisition was preliminarily allocated to the assets acquired and liabilities assumed based upon their respective fair values estimated as of the date of acquisition. The Company has commenced the process to confirm the existence, condition, and completeness of the assets acquired and liabilities assumed to establish fair value of such assets and liabilities and to determine the amount of goodwill to be recognized as of the date of acquisition. Due to the timing of the acquisition, the Company continues to gather information supporting the acquired assets and assumed liabilities. Accordingly, all amounts recorded are provisional. These provisional amounts are subject to change if new information is obtained concerning facts and circumstances that existed as of the acquisition date that, if known, would have affected the measurement of the amounts recognized as of that date. The final determination of the fair value of certain assets and liabilities will be completed within a measurement period of up to one year from the date of acquisition. The final values may also result in changes to depreciation and amortization expense related to certain assets such as property, plant, and equipment and acquired intangible assets. The preliminary excess consideration was recorded as goodwill and approximated $4.1 million, all of which is deductible for tax purposes. Goodwill represents future economic benefits arising from other assets acquired that could not be individually identified including workforce additions, growth opportunities, and increased presence in the domestic building products markets. The final purchase price allocation will be completed no later than the third quarter of fiscal year 2024.</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preliminary allocation of the purchase consideration to the estimated fair value of the assets acquired and liabilities assumed is as follows as of the date of the acquisition (in thousands):</w:t>
      </w:r>
    </w:p>
    <w:p>
      <w:pPr>
        <w:sectPr>
          <w:pgSz w:w="11900" w:h="16838" w:orient="portrait"/>
          <w:cols w:equalWidth="0" w:num="1">
            <w:col w:w="11240"/>
          </w:cols>
          <w:pgMar w:left="320" w:top="122" w:right="339" w:bottom="1440" w:gutter="0" w:footer="0" w:header="0"/>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Acquired intangible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purchase consideration</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intangible assets acquired in this acquisition consisted of the following (in thousands):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1"/>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Fair Value</w:t>
            </w:r>
          </w:p>
        </w:tc>
        <w:tc>
          <w:tcPr>
            <w:tcW w:w="22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33"/>
        </w:trPr>
        <w:tc>
          <w:tcPr>
            <w:tcW w:w="1160" w:type="dxa"/>
            <w:vAlign w:val="bottom"/>
            <w:vMerge w:val="continue"/>
          </w:tcPr>
          <w:p>
            <w:pPr>
              <w:spacing w:after="0"/>
              <w:rPr>
                <w:sz w:val="20"/>
                <w:szCs w:val="20"/>
                <w:color w:val="auto"/>
              </w:rPr>
            </w:pPr>
          </w:p>
        </w:tc>
        <w:tc>
          <w:tcPr>
            <w:tcW w:w="22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Amortization Period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60" w:space="700"/>
            <w:col w:w="33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180" w:type="dxa"/>
            <w:vAlign w:val="bottom"/>
            <w:tcBorders>
              <w:top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rPr>
              <w:t>2 years</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21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8"/>
              </w:rPr>
              <w:t>12 years</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180" w:type="dxa"/>
            <w:vAlign w:val="bottom"/>
            <w:tcBorders>
              <w:bottom w:val="single" w:sz="8" w:color="CCEEFF"/>
            </w:tcBorders>
            <w:shd w:val="clear" w:color="auto" w:fill="CCEEFF"/>
          </w:tcPr>
          <w:p>
            <w:pPr>
              <w:spacing w:after="0"/>
              <w:rPr>
                <w:sz w:val="21"/>
                <w:szCs w:val="2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Acquisition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2022, the Company purchased all the issued and outstanding membership interests of Quality Aluminum Products ("QAP"), a manufacturer of aluminum and steel products including soffit, fascia, trim coil, rain carrying products and aluminum siding. The results of QAP have been included in the Company's consolidated financial results since the date of acquisition within the Company's Residential segment. The purchase consideration for the acquisition of QAP was $52.1 million, which includes a working capital adjustment and certain other adjustments provided for in the membership interest purchase agreement.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for the acquisition was allocated to the assets acquired and liabilities assumed based upon their respective fair values estimated as of the date of acquisition. The Company has completed the process to confirm the existence, condition, and completeness of the assets acquired and liabilities assumed to establish fair value of such assets and liabilities and to determine the amount of goodwill to be recognized as of the date of acquisition. The excess consideration was recorded as goodwill and approximated $4.0 million, all of which is deductible for tax purposes. Goodwill represents future economic benefits arising from other assets acquired that could not be individually identified including workforce additions, growth opportunities, and increased presence in the domestic building products markets.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allocation of the purchase consideration to the estimated fair value of the assets acquired and liabilities assumed is as follows as of the date of the acquisition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60" w:type="dxa"/>
            <w:vAlign w:val="bottom"/>
          </w:tcPr>
          <w:p>
            <w:pPr>
              <w:ind w:left="20"/>
              <w:spacing w:after="0"/>
              <w:rPr>
                <w:sz w:val="20"/>
                <w:szCs w:val="20"/>
                <w:color w:val="auto"/>
              </w:rPr>
            </w:pPr>
            <w:r>
              <w:rPr>
                <w:rFonts w:ascii="Arial" w:cs="Arial" w:eastAsia="Arial" w:hAnsi="Arial"/>
                <w:sz w:val="18"/>
                <w:szCs w:val="18"/>
                <w:color w:val="auto"/>
              </w:rPr>
              <w:t>Cash</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23,372</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8,486</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intangible assets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1,813</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purchase consideration</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52,085</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acquired in this acquisition consisted of the following as of the date of acquisition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Fair Value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Weighted-Average Amortization</w:t>
            </w:r>
          </w:p>
        </w:tc>
        <w:tc>
          <w:tcPr>
            <w:tcW w:w="0" w:type="dxa"/>
            <w:vAlign w:val="bottom"/>
          </w:tcPr>
          <w:p>
            <w:pPr>
              <w:spacing w:after="0"/>
              <w:rPr>
                <w:sz w:val="1"/>
                <w:szCs w:val="1"/>
                <w:color w:val="auto"/>
              </w:rPr>
            </w:pPr>
          </w:p>
        </w:tc>
      </w:tr>
      <w:tr>
        <w:trPr>
          <w:trHeight w:val="243"/>
        </w:trPr>
        <w:tc>
          <w:tcPr>
            <w:tcW w:w="59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Period</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10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acquisition of the privately held Utah-based company and the acquisition of QAP were financed primarily through borrowings under the Company's revolving credit facility.</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recognized costs as a component of cost of sales related to the sale of inventory at fair value as a result of allocating the purchase price of recent acquisitions. The Company also incurred certain acquisition-related costs comprised of legal and consulting fees. These costs were recognized as a component of selling, general, and administrative expenses in the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acquisition-related costs consisted of the following for the years ended December 31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costs</w:t>
            </w: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related costs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740" w:firstLine="8"/>
        <w:spacing w:after="0" w:line="375" w:lineRule="auto"/>
        <w:tabs>
          <w:tab w:leader="none" w:pos="27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RELATED INTANGIBLE ASSETS </w:t>
      </w:r>
      <w:r>
        <w:rPr>
          <w:rFonts w:ascii="Arial" w:cs="Arial" w:eastAsia="Arial" w:hAnsi="Arial"/>
          <w:sz w:val="18"/>
          <w:szCs w:val="18"/>
          <w:i w:val="1"/>
          <w:iCs w:val="1"/>
          <w:u w:val="single" w:color="auto"/>
          <w:color w:val="auto"/>
        </w:rPr>
        <w:t>Goodwill</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for the years ended December 31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Renewables</w:t>
            </w:r>
          </w:p>
        </w:tc>
        <w:tc>
          <w:tcPr>
            <w:tcW w:w="18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Residential</w:t>
            </w:r>
          </w:p>
        </w:tc>
        <w:tc>
          <w:tcPr>
            <w:tcW w:w="24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Agtech</w:t>
            </w: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Infrastructure</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205,452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510,942</w:t>
            </w: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Acquired goodwill</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3,604</w:t>
            </w:r>
          </w:p>
        </w:tc>
      </w:tr>
      <w:tr>
        <w:trPr>
          <w:trHeight w:val="229"/>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prior year acquisition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(3,087)</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209,056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512,363</w:t>
            </w: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Acquired goodwill</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4,133</w:t>
            </w: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prior year acquisition</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 of business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Balance at December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213,576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83,899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31,678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513,383</w:t>
            </w:r>
          </w:p>
        </w:tc>
      </w:tr>
      <w:tr>
        <w:trPr>
          <w:trHeight w:val="21"/>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Goodwill is recognized net of accumulated impairment losses of $133.2 million as of December 31, 2023 and 2022, respectively. No goodwill impairment charges were recognized by the Company during 2023 or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 and Interim Impairment Testing</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tests goodwill and indefinite-lived intangible assets for impairment on an annual basis as of October 31 and at interim dates when indicators of impairment are present. In 2023, 2022 and 2021, no indicators of impairment were identified as of interim dates; therefore, no interim tests were performed.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October 31, 2023 impairment test, the Company conducted a quantitative analysis for all seven of the Company’s reporting units. The quantitative impairment test consists of comparing the fair value of a reporting unit with its carrying value including goodwill. The fair value of each reporting unit evaluated under the quantitative test was determined using two valuation techniques: an income approach and a market approach. Each valuation approach relies on significant assumptions including a weighted average cost of capital ("WACC") based upon the capital structure of market participants in the Company’s peer groups, projected revenue growth, forecasted cash flows, and earnings multiples based on the market value of the Company and market participants within its peer groups.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the Company's annual testing for 2023, 2022 and 2021, none of the reporting units with goodwill as of the testing date had carrying values in excess of their fair values.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9"/>
              </w:rPr>
              <w:t>Acquired Intangible Assets</w:t>
            </w: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5480" w:type="dxa"/>
            <w:vAlign w:val="bottom"/>
            <w:gridSpan w:val="3"/>
          </w:tcPr>
          <w:p>
            <w:pPr>
              <w:spacing w:after="0"/>
              <w:rPr>
                <w:sz w:val="20"/>
                <w:szCs w:val="20"/>
                <w:color w:val="auto"/>
              </w:rPr>
            </w:pPr>
            <w:r>
              <w:rPr>
                <w:rFonts w:ascii="Arial" w:cs="Arial" w:eastAsia="Arial" w:hAnsi="Arial"/>
                <w:sz w:val="18"/>
                <w:szCs w:val="18"/>
                <w:color w:val="auto"/>
              </w:rPr>
              <w:t>Acquired intangible assets consisted of the following (in thousands):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8"/>
                <w:szCs w:val="18"/>
                <w:b w:val="1"/>
                <w:bCs w:val="1"/>
                <w:color w:val="auto"/>
              </w:rPr>
              <w:t>December 31, 2023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jc w:val="center"/>
              <w:ind w:right="420"/>
              <w:spacing w:after="0" w:line="155" w:lineRule="exact"/>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3"/>
                <w:szCs w:val="13"/>
                <w:color w:val="auto"/>
              </w:rPr>
            </w:pPr>
          </w:p>
        </w:tc>
        <w:tc>
          <w:tcPr>
            <w:tcW w:w="128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52,300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55,500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Unpatented technology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22,037</w:t>
            </w:r>
          </w:p>
        </w:tc>
        <w:tc>
          <w:tcPr>
            <w:tcW w:w="0" w:type="dxa"/>
            <w:vAlign w:val="bottom"/>
          </w:tcPr>
          <w:p>
            <w:pPr>
              <w:spacing w:after="0"/>
              <w:rPr>
                <w:sz w:val="1"/>
                <w:szCs w:val="1"/>
                <w:color w:val="auto"/>
              </w:rPr>
            </w:pPr>
          </w:p>
        </w:tc>
      </w:tr>
      <w:tr>
        <w:trPr>
          <w:trHeight w:val="229"/>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48,088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46,557</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Non-compete agreements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75,081</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acquired intangible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75,081</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2023, the Company recognized impairment charges of $3.8 million related to indefinite-lived trademark intangible assets due to a rebranding initiative that resulted in the discontinuation of certain indefinite-lived trademarks in the Agtech segment, along with the write-off of amortizing intangibles related to a discontinued product line in the Renewables segment. The Company recognized no impairment charges related to intangible assets during the year ended December 31, 2022.</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recognized amortization expense related to the definite-lived intangible assets. The following table summarizes amortization expense for the years ended December 31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18,856</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acquired intangible assets for the next five years ended December 31 is estimated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2027</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2028</w:t>
            </w:r>
          </w:p>
        </w:tc>
        <w:tc>
          <w:tcPr>
            <w:tcW w:w="20" w:type="dxa"/>
            <w:vAlign w:val="bottom"/>
            <w:tcBorders>
              <w:bottom w:val="single" w:sz="8" w:color="auto"/>
            </w:tcBorders>
          </w:tcPr>
          <w:p>
            <w:pPr>
              <w:spacing w:after="0"/>
              <w:rPr>
                <w:sz w:val="20"/>
                <w:szCs w:val="20"/>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20" w:type="dxa"/>
            <w:vAlign w:val="bottom"/>
            <w:shd w:val="clear" w:color="auto" w:fill="CCEEFF"/>
          </w:tcPr>
          <w:p>
            <w:pPr>
              <w:spacing w:after="0"/>
              <w:rPr>
                <w:sz w:val="19"/>
                <w:szCs w:val="19"/>
                <w:color w:val="auto"/>
              </w:rPr>
            </w:pPr>
          </w:p>
        </w:tc>
      </w:tr>
      <w:tr>
        <w:trPr>
          <w:trHeight w:val="808"/>
        </w:trPr>
        <w:tc>
          <w:tcPr>
            <w:tcW w:w="5060" w:type="dxa"/>
            <w:vAlign w:val="bottom"/>
          </w:tcPr>
          <w:p>
            <w:pPr>
              <w:spacing w:after="0"/>
              <w:rPr>
                <w:sz w:val="20"/>
                <w:szCs w:val="20"/>
                <w:color w:val="auto"/>
              </w:rPr>
            </w:pPr>
            <w:r>
              <w:rPr>
                <w:rFonts w:ascii="Arial" w:cs="Arial" w:eastAsia="Arial" w:hAnsi="Arial"/>
                <w:sz w:val="18"/>
                <w:szCs w:val="18"/>
                <w:b w:val="1"/>
                <w:bCs w:val="1"/>
                <w:color w:val="auto"/>
              </w:rPr>
              <w:t>(8) ACCRUED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6320" w:type="dxa"/>
            <w:vAlign w:val="bottom"/>
            <w:gridSpan w:val="4"/>
          </w:tcPr>
          <w:p>
            <w:pPr>
              <w:spacing w:after="0"/>
              <w:rPr>
                <w:sz w:val="20"/>
                <w:szCs w:val="20"/>
                <w:color w:val="auto"/>
              </w:rPr>
            </w:pPr>
            <w:r>
              <w:rPr>
                <w:rFonts w:ascii="Arial" w:cs="Arial" w:eastAsia="Arial" w:hAnsi="Arial"/>
                <w:sz w:val="18"/>
                <w:szCs w:val="18"/>
                <w:color w:val="auto"/>
              </w:rPr>
              <w:t>Accrued expenses at December 31 consisted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50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4"/>
                <w:szCs w:val="24"/>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19,277</w:t>
            </w:r>
          </w:p>
        </w:tc>
        <w:tc>
          <w:tcPr>
            <w:tcW w:w="20" w:type="dxa"/>
            <w:vAlign w:val="bottom"/>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Customer rebates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16,768</w:t>
            </w:r>
          </w:p>
        </w:tc>
        <w:tc>
          <w:tcPr>
            <w:tcW w:w="20" w:type="dxa"/>
            <w:vAlign w:val="bottom"/>
          </w:tcPr>
          <w:p>
            <w:pPr>
              <w:spacing w:after="0"/>
              <w:rPr>
                <w:sz w:val="19"/>
                <w:szCs w:val="19"/>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20" w:type="dxa"/>
            <w:vAlign w:val="bottom"/>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Product warranties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6,251</w:t>
            </w:r>
          </w:p>
        </w:tc>
        <w:tc>
          <w:tcPr>
            <w:tcW w:w="20" w:type="dxa"/>
            <w:vAlign w:val="bottom"/>
          </w:tcPr>
          <w:p>
            <w:pPr>
              <w:spacing w:after="0"/>
              <w:rPr>
                <w:sz w:val="19"/>
                <w:szCs w:val="19"/>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20" w:type="dxa"/>
            <w:vAlign w:val="bottom"/>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Interest and taxes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5,696</w:t>
            </w:r>
          </w:p>
        </w:tc>
        <w:tc>
          <w:tcPr>
            <w:tcW w:w="20" w:type="dxa"/>
            <w:vAlign w:val="bottom"/>
          </w:tcPr>
          <w:p>
            <w:pPr>
              <w:spacing w:after="0"/>
              <w:rPr>
                <w:sz w:val="19"/>
                <w:szCs w:val="19"/>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20" w:type="dxa"/>
            <w:vAlign w:val="bottom"/>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accrued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73,721</w:t>
            </w:r>
          </w:p>
        </w:tc>
        <w:tc>
          <w:tcPr>
            <w:tcW w:w="2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Accrued expenses for compensation includes salaries, benefits, and short-term or current portions of incentives and bonuses. Accrued expenses for insurance are primarily for general liability, workers’ compensation and employee healthcare policies for which the Company is self-insured up to certain per-occurrence and aggregate limits.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had no outstanding debt as of December 31, 2023 and unamortized debt issuance costs, included in other assets on the consolidated balance sheet, were $1.7 million. As of December 31, 2022, the Company's total outstanding debt was $88.8 million, which included $91.0 million on the Company's revolving credit facility net of $2.2 million in unamortized debt issuance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8, 2022, the Company entered into a Credit Agreement (the "Credit Agreement"), and concurrently with entering into the Credit Agreement, the Company paid off all amounts owed under the Sixth Amended and Restated Credit Agreement (the "Prior Credit Agreement") dated as of January 24, 2019, which was terminated without any prepayment penalties. The Credit Agreement provides for a revolving credit facility and letters of credit in an aggregate amount equal to $ 400 million. The Company can request additional financing to increase the revolving credit facility to $700 million or enter into a term loan of up to $300 million subject to conditions set forth in the Credit Agreement. The Credit Agreement contains two financial covenants. As of December 31, 2023, the Company was in compliance with all financial covenants. The Credit Agreement terminates on December 8, 2027.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Credit Agreement bear interest, at the Company’s option, at a rate equal to the applicable margin plus (a) a base rate,</w:t>
      </w:r>
    </w:p>
    <w:p>
      <w:pPr>
        <w:spacing w:after="0" w:line="27" w:lineRule="exact"/>
        <w:rPr>
          <w:sz w:val="20"/>
          <w:szCs w:val="20"/>
          <w:color w:val="auto"/>
        </w:rPr>
      </w:pPr>
    </w:p>
    <w:p>
      <w:pPr>
        <w:jc w:val="both"/>
        <w:ind w:firstLine="8"/>
        <w:spacing w:after="0" w:line="253" w:lineRule="auto"/>
        <w:tabs>
          <w:tab w:leader="none" w:pos="3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daily simple secured overnight financing rate ("SOFR") rate, (c) a term SOFR rate or (d) for certain foreign currencies, a foreign currency rate, in each case subject to a 0% floor. Through March 31, 2023, the Credit Agreement had an initial applicable margin of 0.125% for base rate loans and 1.125% for SOFR and alternative currency loans. Thereafter, the applicable margin ranges from 0.125% to 1.00% for base rate loans and from 1.125% to 2.00% for SOFR and alternative currency loans based on the Company’s Total Net Leverage Ratio, as defined in the Credit Agreement. In addition, the Credit Agreement is subject to an annual commitment fee, payable quarterly, which was initially 0.20% of the daily average undrawn balance of the revolving credit facility and, from and after April 1, 2023, ranges between 0.20% and 0.25% of the daily average undrawn balance of the revolving credit facility based on the Company’s Total Net Leverage Ratio.</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Borrowings under the Credit Agreement are secured by the trade receivables, inventory, personal property, equipment, and general intangibles of the Company’s significant domestic subsidiaries. Capital distributions are subject to certain Total Net Leverage Ratio requirements and capped by an annual aggregate limit under the Credit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Prior Credit Agreement provided a revolving credit facility and letters of credit in an aggregate amount equal to $400 million. Interest rates on the revolving credit facility under the Prior Credit Agreement were based on LIBOR plus an additional margin that ranges from 1.125% to 2.00%. In addition, the revolving credit facility under the Prior Credit Agreement was subject to an undrawn commitment fee ranging between 0.15% and 0.25% based on the Total Leverage Ratio and the daily average undrawn balance. The Prior Credit Agreement terminated on December 8, 2022.</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Standby letters of credit of $3.9 million have been issued under the Credit Agreement to third parties on behalf of the Company as of December 31, 2023. These letters of credit reduce the amount otherwise available under the Credit Agreement's revolving credit facility. The Company had $396.1 million and $304.5 million of availability under the revolving credit facility as of December 31, 2023 and 2022,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80" w:type="dxa"/>
            <w:vAlign w:val="bottom"/>
          </w:tcPr>
          <w:p>
            <w:pPr>
              <w:spacing w:after="0"/>
              <w:rPr>
                <w:sz w:val="20"/>
                <w:szCs w:val="20"/>
                <w:color w:val="auto"/>
              </w:rPr>
            </w:pPr>
            <w:r>
              <w:rPr>
                <w:rFonts w:ascii="Arial" w:cs="Arial" w:eastAsia="Arial" w:hAnsi="Arial"/>
                <w:sz w:val="18"/>
                <w:szCs w:val="18"/>
                <w:color w:val="auto"/>
              </w:rPr>
              <w:t>Total cash paid for interest in the years ended December 31 was (in thousands):</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07"/>
        </w:trPr>
        <w:tc>
          <w:tcPr>
            <w:tcW w:w="668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r>
      <w:tr>
        <w:trPr>
          <w:trHeight w:val="229"/>
        </w:trPr>
        <w:tc>
          <w:tcPr>
            <w:tcW w:w="66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adjustments</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r>
      <w:tr>
        <w:trPr>
          <w:trHeight w:val="21"/>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OTHER POSTRETIREMENT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401(k) plan in which all employees of U.S. subsidiaries are eligible to participate.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contributes to a multiemployer defined benefit pension plan under the terms of a collective-bargaining agreement that covers union-represented employees.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an unfunded postretirement healthcare plan which provides health insurance to certain retired employees and their spouses. This plan has been frozen, no current employees participate and no additional participants will be added to the plan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Total expense for all retirement plans for the years ended December 31 was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401(k) plan</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Multiemployer and other defined benefit and pension plans</w:t>
            </w: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healthcare plan</w:t>
            </w:r>
          </w:p>
        </w:tc>
        <w:tc>
          <w:tcPr>
            <w:tcW w:w="1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retirement plan expense</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r>
      <w:tr>
        <w:trPr>
          <w:trHeight w:val="20"/>
        </w:trPr>
        <w:tc>
          <w:tcPr>
            <w:tcW w:w="5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one multiemployer plan is underfunded and has a rehabilitation plan in place. The rehabilitation plan requires minimum contributions from the Company. Given the status of this plan, it is reasonably possible that future contributions to the plan will increase although the Company cannot reasonably estimate a possible range of increased contributions as of December 31, 2023.</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presents the changes in the accumulated postretirement benefit obligation related to the Company’s unfunded postretirement healthcare benefits at December 31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January 1</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 (gain)</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r>
      <w:tr>
        <w:trPr>
          <w:trHeight w:val="23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Benefits paid, net of contributions</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December 31</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13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 funded status</w:t>
            </w:r>
          </w:p>
        </w:tc>
        <w:tc>
          <w:tcPr>
            <w:tcW w:w="13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Unamortized prior service cost</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actuarial (gain)</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Net amount recognized</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w:t>
            </w:r>
          </w:p>
        </w:tc>
      </w:tr>
      <w:tr>
        <w:trPr>
          <w:trHeight w:val="20"/>
        </w:trPr>
        <w:tc>
          <w:tcPr>
            <w:tcW w:w="7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financial statements consisted of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postretirement benefit liability:</w:t>
            </w:r>
          </w:p>
        </w:tc>
        <w:tc>
          <w:tcPr>
            <w:tcW w:w="1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Current portion</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 term portion</w:t>
            </w:r>
          </w:p>
        </w:tc>
        <w:tc>
          <w:tcPr>
            <w:tcW w:w="1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184"/>
        </w:trPr>
        <w:tc>
          <w:tcPr>
            <w:tcW w:w="7120" w:type="dxa"/>
            <w:vAlign w:val="bottom"/>
          </w:tcPr>
          <w:p>
            <w:pPr>
              <w:ind w:left="360"/>
              <w:spacing w:after="0" w:line="183" w:lineRule="exact"/>
              <w:rPr>
                <w:sz w:val="20"/>
                <w:szCs w:val="20"/>
                <w:color w:val="auto"/>
              </w:rPr>
            </w:pPr>
            <w:r>
              <w:rPr>
                <w:rFonts w:ascii="Arial" w:cs="Arial" w:eastAsia="Arial" w:hAnsi="Arial"/>
                <w:sz w:val="18"/>
                <w:szCs w:val="18"/>
                <w:color w:val="auto"/>
              </w:rPr>
              <w:t>Pre-tax accumulated other comprehensive loss – unamortized post-retirement</w:t>
            </w:r>
          </w:p>
        </w:tc>
        <w:tc>
          <w:tcPr>
            <w:tcW w:w="13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5"/>
        </w:trPr>
        <w:tc>
          <w:tcPr>
            <w:tcW w:w="7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healthcare costs</w:t>
            </w:r>
          </w:p>
        </w:tc>
        <w:tc>
          <w:tcPr>
            <w:tcW w:w="1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amount recognized</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measurement date used to determine postretirement benefit obligation measures was December 31.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Components of net periodic postretirement benefit cost charged to expense for the years ended December 31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194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3"/>
              </w:rPr>
              <w:t>127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Amortization of unrecognized prior service cost</w:t>
            </w:r>
          </w:p>
        </w:tc>
        <w:tc>
          <w:tcPr>
            <w:tcW w:w="980" w:type="dxa"/>
            <w:vAlign w:val="bottom"/>
          </w:tcPr>
          <w:p>
            <w:pPr>
              <w:spacing w:after="0"/>
              <w:rPr>
                <w:sz w:val="19"/>
                <w:szCs w:val="19"/>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44</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amortization (</w:t>
            </w:r>
            <w:r>
              <w:rPr>
                <w:rFonts w:ascii="Arial" w:cs="Arial" w:eastAsia="Arial" w:hAnsi="Arial"/>
                <w:sz w:val="16"/>
                <w:szCs w:val="16"/>
                <w:color w:val="auto"/>
              </w:rPr>
              <w:t>2</w:t>
            </w: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254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3"/>
              </w:rPr>
              <w:t>211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282</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6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Assumptions used to calculate the benefit obligation:</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rate of increase in the per capita cost of:</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80" w:type="dxa"/>
            <w:vAlign w:val="bottom"/>
          </w:tcPr>
          <w:p>
            <w:pPr>
              <w:ind w:left="400"/>
              <w:spacing w:after="0"/>
              <w:rPr>
                <w:sz w:val="20"/>
                <w:szCs w:val="20"/>
                <w:color w:val="auto"/>
              </w:rPr>
            </w:pPr>
            <w:r>
              <w:rPr>
                <w:rFonts w:ascii="Arial" w:cs="Arial" w:eastAsia="Arial" w:hAnsi="Arial"/>
                <w:sz w:val="18"/>
                <w:szCs w:val="18"/>
                <w:color w:val="auto"/>
              </w:rPr>
              <w:t>Medical costs before age 65 (</w:t>
            </w:r>
            <w:r>
              <w:rPr>
                <w:rFonts w:ascii="Arial" w:cs="Arial" w:eastAsia="Arial" w:hAnsi="Arial"/>
                <w:sz w:val="16"/>
                <w:szCs w:val="16"/>
                <w:color w:val="auto"/>
              </w:rPr>
              <w:t>1)</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6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Medical costs after age 65 (</w:t>
            </w:r>
            <w:r>
              <w:rPr>
                <w:rFonts w:ascii="Arial" w:cs="Arial" w:eastAsia="Arial" w:hAnsi="Arial"/>
                <w:sz w:val="16"/>
                <w:szCs w:val="16"/>
                <w:color w:val="auto"/>
              </w:rPr>
              <w:t>1)</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9"/>
        </w:trPr>
        <w:tc>
          <w:tcPr>
            <w:tcW w:w="6380" w:type="dxa"/>
            <w:vAlign w:val="bottom"/>
          </w:tcPr>
          <w:p>
            <w:pPr>
              <w:ind w:left="400"/>
              <w:spacing w:after="0"/>
              <w:rPr>
                <w:sz w:val="20"/>
                <w:szCs w:val="20"/>
                <w:color w:val="auto"/>
              </w:rPr>
            </w:pPr>
            <w:r>
              <w:rPr>
                <w:rFonts w:ascii="Arial" w:cs="Arial" w:eastAsia="Arial" w:hAnsi="Arial"/>
                <w:sz w:val="18"/>
                <w:szCs w:val="18"/>
                <w:color w:val="auto"/>
              </w:rPr>
              <w:t>Prescription drug costs (</w:t>
            </w:r>
            <w:r>
              <w:rPr>
                <w:rFonts w:ascii="Arial" w:cs="Arial" w:eastAsia="Arial" w:hAnsi="Arial"/>
                <w:sz w:val="16"/>
                <w:szCs w:val="16"/>
                <w:color w:val="auto"/>
              </w:rPr>
              <w:t>1)</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7.0 %</w:t>
            </w:r>
          </w:p>
        </w:tc>
      </w:tr>
    </w:tbl>
    <w:p>
      <w:pPr>
        <w:spacing w:after="0" w:line="174" w:lineRule="exact"/>
        <w:rPr>
          <w:sz w:val="20"/>
          <w:szCs w:val="20"/>
          <w:color w:val="auto"/>
        </w:rPr>
      </w:pPr>
    </w:p>
    <w:p>
      <w:pPr>
        <w:ind w:left="340" w:hanging="8"/>
        <w:spacing w:after="0" w:line="281" w:lineRule="auto"/>
        <w:tabs>
          <w:tab w:leader="none" w:pos="6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2023 and 2022, it was assumed that these rates would gradually decline to 4.0% by 2075. For 2021, it was assumed that these rates would gradually decline to 3.8% by 2075.</w:t>
      </w:r>
    </w:p>
    <w:p>
      <w:pPr>
        <w:spacing w:after="0" w:line="1" w:lineRule="exact"/>
        <w:rPr>
          <w:rFonts w:ascii="Arial" w:cs="Arial" w:eastAsia="Arial" w:hAnsi="Arial"/>
          <w:sz w:val="18"/>
          <w:szCs w:val="18"/>
          <w:color w:val="auto"/>
        </w:rPr>
      </w:pPr>
    </w:p>
    <w:p>
      <w:pPr>
        <w:jc w:val="both"/>
        <w:ind w:left="340" w:hanging="8"/>
        <w:spacing w:after="0" w:line="262" w:lineRule="auto"/>
        <w:tabs>
          <w:tab w:leader="none" w:pos="6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Actuarial losses are amortized utilizing the corridor approach. Differences between actual experience and the actuarial assumptions are reflected in (gain)/loss. If the total net (gain) or loss exceeds 10 percent of the greater of the accumulated postretirement benefit obligation or plan assets, this excess must be amortized over the average remaining service period of the active plan participants. If most of the plan participants are inactive, the amortization period is the expected future lifetime of inactive plan participants.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Expected benefit payments from the plan for the years ended December 31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2027</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Years 2029 - 2033</w:t>
            </w: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benefit payments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balance of each component of accumulated other comprehensive (loss) income is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w:t>
            </w:r>
          </w:p>
        </w:tc>
        <w:tc>
          <w:tcPr>
            <w:tcW w:w="160" w:type="dxa"/>
            <w:vAlign w:val="bottom"/>
          </w:tcPr>
          <w:p>
            <w:pPr>
              <w:spacing w:after="0"/>
              <w:rPr>
                <w:sz w:val="18"/>
                <w:szCs w:val="18"/>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Postretirement</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Currency</w:t>
            </w:r>
          </w:p>
        </w:tc>
        <w:tc>
          <w:tcPr>
            <w:tcW w:w="1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8"/>
              </w:rPr>
              <w:t>Total Pre-</w:t>
            </w:r>
          </w:p>
        </w:tc>
        <w:tc>
          <w:tcPr>
            <w:tcW w:w="160" w:type="dxa"/>
            <w:vAlign w:val="bottom"/>
          </w:tcPr>
          <w:p>
            <w:pPr>
              <w:spacing w:after="0"/>
              <w:rPr>
                <w:sz w:val="15"/>
                <w:szCs w:val="15"/>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Tax Benefit</w:t>
            </w:r>
          </w:p>
        </w:tc>
        <w:tc>
          <w:tcPr>
            <w:tcW w:w="160" w:type="dxa"/>
            <w:vAlign w:val="bottom"/>
          </w:tcPr>
          <w:p>
            <w:pPr>
              <w:spacing w:after="0"/>
              <w:rPr>
                <w:sz w:val="15"/>
                <w:szCs w:val="15"/>
                <w:color w:val="auto"/>
              </w:rPr>
            </w:pPr>
          </w:p>
        </w:tc>
        <w:tc>
          <w:tcPr>
            <w:tcW w:w="16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Other</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8"/>
              </w:rPr>
              <w:t>Translation</w:t>
            </w:r>
          </w:p>
        </w:tc>
        <w:tc>
          <w:tcPr>
            <w:tcW w:w="160" w:type="dxa"/>
            <w:vAlign w:val="bottom"/>
          </w:tcPr>
          <w:p>
            <w:pPr>
              <w:spacing w:after="0"/>
              <w:rPr>
                <w:sz w:val="16"/>
                <w:szCs w:val="16"/>
                <w:color w:val="auto"/>
              </w:rPr>
            </w:pPr>
          </w:p>
        </w:tc>
        <w:tc>
          <w:tcPr>
            <w:tcW w:w="164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Benefit Plan</w:t>
            </w: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rPr>
              <w:t>Comprehensive</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Adjustments</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Tax Amount</w:t>
            </w: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(Expense)</w:t>
            </w:r>
          </w:p>
        </w:tc>
        <w:tc>
          <w:tcPr>
            <w:tcW w:w="160" w:type="dxa"/>
            <w:vAlign w:val="bottom"/>
          </w:tcPr>
          <w:p>
            <w:pPr>
              <w:spacing w:after="0"/>
              <w:rPr>
                <w:sz w:val="19"/>
                <w:szCs w:val="19"/>
                <w:color w:val="auto"/>
              </w:rPr>
            </w:pPr>
          </w:p>
        </w:tc>
        <w:tc>
          <w:tcPr>
            <w:tcW w:w="16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(Loss) Income</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75"/>
        </w:trPr>
        <w:tc>
          <w:tcPr>
            <w:tcW w:w="3320" w:type="dxa"/>
            <w:vAlign w:val="bottom"/>
          </w:tcPr>
          <w:p>
            <w:pPr>
              <w:ind w:left="220"/>
              <w:spacing w:after="0" w:line="176" w:lineRule="exact"/>
              <w:rPr>
                <w:sz w:val="20"/>
                <w:szCs w:val="20"/>
                <w:color w:val="auto"/>
              </w:rPr>
            </w:pPr>
            <w:r>
              <w:rPr>
                <w:rFonts w:ascii="Arial" w:cs="Arial" w:eastAsia="Arial" w:hAnsi="Arial"/>
                <w:sz w:val="18"/>
                <w:szCs w:val="18"/>
                <w:color w:val="auto"/>
              </w:rPr>
              <w:t>Postretirement benefit plan</w:t>
            </w:r>
          </w:p>
        </w:tc>
        <w:tc>
          <w:tcPr>
            <w:tcW w:w="160" w:type="dxa"/>
            <w:vAlign w:val="bottom"/>
          </w:tcPr>
          <w:p>
            <w:pPr>
              <w:spacing w:after="0"/>
              <w:rPr>
                <w:sz w:val="15"/>
                <w:szCs w:val="15"/>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43"/>
        </w:trPr>
        <w:tc>
          <w:tcPr>
            <w:tcW w:w="3320" w:type="dxa"/>
            <w:vAlign w:val="bottom"/>
          </w:tcPr>
          <w:p>
            <w:pPr>
              <w:ind w:left="2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w:t>
            </w:r>
          </w:p>
        </w:tc>
        <w:tc>
          <w:tcPr>
            <w:tcW w:w="1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Postretirement benefit plan</w:t>
            </w:r>
          </w:p>
        </w:tc>
        <w:tc>
          <w:tcPr>
            <w:tcW w:w="1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w:t>
            </w:r>
          </w:p>
        </w:tc>
        <w:tc>
          <w:tcPr>
            <w:tcW w:w="16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20"/>
              <w:spacing w:after="0" w:line="176" w:lineRule="exact"/>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43"/>
        </w:trPr>
        <w:tc>
          <w:tcPr>
            <w:tcW w:w="3320" w:type="dxa"/>
            <w:vAlign w:val="bottom"/>
          </w:tcPr>
          <w:p>
            <w:pPr>
              <w:ind w:left="220"/>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realized adjustments relating to the Company’s minimum post retirement health care costs were reclassified from accumulated other comprehensive loss and included in other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EQUITY-BASED COMPENSATION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awards equity-based compensation to employees and directors, which is recognized in the statements of income based on the grant-date fair value of the award. The Company uses the straight-line method for recording compensation expense over a vesting period generally up to four years with either graded or cliff vesting. Stock compensation expense recognized during the period is based on the value of the portion of equity-based awards that is ultimately expected to vest during the period reduced by the expense on unvested awards forfeited during the period.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 2023, the stockholders of the Company approved the adoption of the Gibraltar Industries, Inc. Amended and Restated 2018 Equity Incentive Plan (the "Amended 2018 Plan") which increases the total number of shares available for issuance by the Company from 1,000,000 shares to 1,550,000 shares. In addition, 81,707 shares that were unissued and available for grant under the Gibraltar Industries, Inc. 2015 Equity Incentive Plan (the "2015 Plan") were consolidated with the Amended 2018 Plan. No further grants will be made under the 2015 Plan. The Amended 2018 Plan allows the Company to grant equity-based incentive compensation awards, in the form of non-qualified options, restricted shares, restricted stock units, performance shares, performance stock units, and stock rights to eligible participants.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4, 2022, the stockholders of the Company approved the adoption of the Gibraltar Industries, Inc. Amended and Restated 2016 Stock Plan for Non-Employee Directors ("Non-Employee Directors Plan") which increases the total number of shares for issuance by the Company thereunder from 100,000 shares to 200,000 shares, allows the Company to grant awards of shares of the Company's common stock to current non-employee Directors of the Company, and permits the Directors to defer receipt of such shares pursuant to the terms of the Non-Employee Directors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2023, approximately 885,000 shares were available for issuance under the Amended 2018 Plan as incentive stock options or other stock awards, and approximately 86,000 shares were available for issuance under the Non-Employee Directors Plan as awards of shares of the Company's common stock.</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compensation cost for employee and non-employee director equity-based compensation plans for all current and prior year awards granted along with the related tax benefits recognized during the years ended December 31 (in thousands)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 compensation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color w:val="auto"/>
              </w:rPr>
              <w:t>Tax benefits recognized related to stock compensation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2,189</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Based Awards - Settled in Stock</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provides the number of stock units and common stock granted during the years ended December 31, along with the weighted-average grant-date fair value of each award: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2022</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5"/>
              </w:rPr>
              <w:t>2021</w:t>
            </w:r>
          </w:p>
        </w:tc>
        <w:tc>
          <w:tcPr>
            <w:tcW w:w="1120" w:type="dxa"/>
            <w:vAlign w:val="bottom"/>
            <w:tcBorders>
              <w:bottom w:val="single" w:sz="8" w:color="auto"/>
            </w:tcBorders>
          </w:tcPr>
          <w:p>
            <w:pPr>
              <w:spacing w:after="0"/>
              <w:rPr>
                <w:sz w:val="20"/>
                <w:szCs w:val="20"/>
                <w:color w:val="auto"/>
              </w:rPr>
            </w:pPr>
          </w:p>
        </w:tc>
      </w:tr>
      <w:tr>
        <w:trPr>
          <w:trHeight w:val="203"/>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Weighted</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Weighted</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35"/>
              <w:spacing w:after="0"/>
              <w:rPr>
                <w:sz w:val="20"/>
                <w:szCs w:val="20"/>
                <w:color w:val="auto"/>
              </w:rPr>
            </w:pPr>
            <w:r>
              <w:rPr>
                <w:rFonts w:ascii="Arial" w:cs="Arial" w:eastAsia="Arial" w:hAnsi="Arial"/>
                <w:sz w:val="17"/>
                <w:szCs w:val="17"/>
                <w:b w:val="1"/>
                <w:bCs w:val="1"/>
                <w:color w:val="auto"/>
              </w:rPr>
              <w:t>Weighted</w:t>
            </w:r>
          </w:p>
        </w:tc>
      </w:tr>
      <w:tr>
        <w:trPr>
          <w:trHeight w:val="203"/>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Average</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8"/>
              </w:rPr>
              <w:t>Average</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35"/>
              <w:spacing w:after="0"/>
              <w:rPr>
                <w:sz w:val="20"/>
                <w:szCs w:val="20"/>
                <w:color w:val="auto"/>
              </w:rPr>
            </w:pPr>
            <w:r>
              <w:rPr>
                <w:rFonts w:ascii="Arial" w:cs="Arial" w:eastAsia="Arial" w:hAnsi="Arial"/>
                <w:sz w:val="17"/>
                <w:szCs w:val="17"/>
                <w:b w:val="1"/>
                <w:bCs w:val="1"/>
                <w:color w:val="auto"/>
                <w:w w:val="98"/>
              </w:rPr>
              <w:t>Average</w:t>
            </w:r>
          </w:p>
        </w:tc>
      </w:tr>
      <w:tr>
        <w:trPr>
          <w:trHeight w:val="203"/>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15"/>
              <w:spacing w:after="0"/>
              <w:rPr>
                <w:sz w:val="20"/>
                <w:szCs w:val="20"/>
                <w:color w:val="auto"/>
              </w:rPr>
            </w:pPr>
            <w:r>
              <w:rPr>
                <w:rFonts w:ascii="Arial" w:cs="Arial" w:eastAsia="Arial" w:hAnsi="Arial"/>
                <w:sz w:val="17"/>
                <w:szCs w:val="17"/>
                <w:b w:val="1"/>
                <w:bCs w:val="1"/>
                <w:color w:val="auto"/>
              </w:rPr>
              <w:t>Number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Grant Date</w:t>
            </w:r>
          </w:p>
        </w:tc>
        <w:tc>
          <w:tcPr>
            <w:tcW w:w="1100" w:type="dxa"/>
            <w:vAlign w:val="bottom"/>
          </w:tcPr>
          <w:p>
            <w:pPr>
              <w:jc w:val="right"/>
              <w:ind w:right="115"/>
              <w:spacing w:after="0"/>
              <w:rPr>
                <w:sz w:val="20"/>
                <w:szCs w:val="20"/>
                <w:color w:val="auto"/>
              </w:rPr>
            </w:pPr>
            <w:r>
              <w:rPr>
                <w:rFonts w:ascii="Arial" w:cs="Arial" w:eastAsia="Arial" w:hAnsi="Arial"/>
                <w:sz w:val="17"/>
                <w:szCs w:val="17"/>
                <w:b w:val="1"/>
                <w:bCs w:val="1"/>
                <w:color w:val="auto"/>
              </w:rPr>
              <w:t>Number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Grant Date</w:t>
            </w:r>
          </w:p>
        </w:tc>
        <w:tc>
          <w:tcPr>
            <w:tcW w:w="1120" w:type="dxa"/>
            <w:vAlign w:val="bottom"/>
          </w:tcPr>
          <w:p>
            <w:pPr>
              <w:jc w:val="right"/>
              <w:ind w:right="115"/>
              <w:spacing w:after="0"/>
              <w:rPr>
                <w:sz w:val="20"/>
                <w:szCs w:val="20"/>
                <w:color w:val="auto"/>
              </w:rPr>
            </w:pPr>
            <w:r>
              <w:rPr>
                <w:rFonts w:ascii="Arial" w:cs="Arial" w:eastAsia="Arial" w:hAnsi="Arial"/>
                <w:sz w:val="17"/>
                <w:szCs w:val="17"/>
                <w:b w:val="1"/>
                <w:bCs w:val="1"/>
                <w:color w:val="auto"/>
              </w:rPr>
              <w:t>Number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35"/>
              <w:spacing w:after="0"/>
              <w:rPr>
                <w:sz w:val="20"/>
                <w:szCs w:val="20"/>
                <w:color w:val="auto"/>
              </w:rPr>
            </w:pPr>
            <w:r>
              <w:rPr>
                <w:rFonts w:ascii="Arial" w:cs="Arial" w:eastAsia="Arial" w:hAnsi="Arial"/>
                <w:sz w:val="17"/>
                <w:szCs w:val="17"/>
                <w:b w:val="1"/>
                <w:bCs w:val="1"/>
                <w:color w:val="auto"/>
                <w:w w:val="98"/>
              </w:rPr>
              <w:t>Grant Date</w:t>
            </w:r>
          </w:p>
        </w:tc>
      </w:tr>
      <w:tr>
        <w:trPr>
          <w:trHeight w:val="263"/>
        </w:trPr>
        <w:tc>
          <w:tcPr>
            <w:tcW w:w="3140" w:type="dxa"/>
            <w:vAlign w:val="bottom"/>
            <w:gridSpan w:val="2"/>
          </w:tcPr>
          <w:p>
            <w:pPr>
              <w:ind w:left="20"/>
              <w:spacing w:after="0"/>
              <w:rPr>
                <w:sz w:val="20"/>
                <w:szCs w:val="20"/>
                <w:color w:val="auto"/>
              </w:rPr>
            </w:pPr>
            <w:r>
              <w:rPr>
                <w:rFonts w:ascii="Arial" w:cs="Arial" w:eastAsia="Arial" w:hAnsi="Arial"/>
                <w:sz w:val="17"/>
                <w:szCs w:val="17"/>
                <w:b w:val="1"/>
                <w:bCs w:val="1"/>
                <w:color w:val="auto"/>
              </w:rPr>
              <w:t>Awards</w:t>
            </w:r>
          </w:p>
        </w:tc>
        <w:tc>
          <w:tcPr>
            <w:tcW w:w="1100" w:type="dxa"/>
            <w:vAlign w:val="bottom"/>
          </w:tcPr>
          <w:p>
            <w:pPr>
              <w:jc w:val="right"/>
              <w:ind w:right="15"/>
              <w:spacing w:after="0"/>
              <w:rPr>
                <w:sz w:val="20"/>
                <w:szCs w:val="20"/>
                <w:color w:val="auto"/>
              </w:rPr>
            </w:pPr>
            <w:r>
              <w:rPr>
                <w:rFonts w:ascii="Arial" w:cs="Arial" w:eastAsia="Arial" w:hAnsi="Arial"/>
                <w:sz w:val="17"/>
                <w:szCs w:val="17"/>
                <w:b w:val="1"/>
                <w:bCs w:val="1"/>
                <w:color w:val="auto"/>
              </w:rPr>
              <w:t>of Awards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Fair Value</w:t>
            </w:r>
          </w:p>
        </w:tc>
        <w:tc>
          <w:tcPr>
            <w:tcW w:w="1100" w:type="dxa"/>
            <w:vAlign w:val="bottom"/>
          </w:tcPr>
          <w:p>
            <w:pPr>
              <w:jc w:val="right"/>
              <w:ind w:right="15"/>
              <w:spacing w:after="0"/>
              <w:rPr>
                <w:sz w:val="20"/>
                <w:szCs w:val="20"/>
                <w:color w:val="auto"/>
              </w:rPr>
            </w:pPr>
            <w:r>
              <w:rPr>
                <w:rFonts w:ascii="Arial" w:cs="Arial" w:eastAsia="Arial" w:hAnsi="Arial"/>
                <w:sz w:val="17"/>
                <w:szCs w:val="17"/>
                <w:b w:val="1"/>
                <w:bCs w:val="1"/>
                <w:color w:val="auto"/>
              </w:rPr>
              <w:t>of Awards</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Fair Value</w:t>
            </w:r>
          </w:p>
        </w:tc>
        <w:tc>
          <w:tcPr>
            <w:tcW w:w="1120" w:type="dxa"/>
            <w:vAlign w:val="bottom"/>
          </w:tcPr>
          <w:p>
            <w:pPr>
              <w:jc w:val="right"/>
              <w:ind w:right="35"/>
              <w:spacing w:after="0"/>
              <w:rPr>
                <w:sz w:val="20"/>
                <w:szCs w:val="20"/>
                <w:color w:val="auto"/>
              </w:rPr>
            </w:pPr>
            <w:r>
              <w:rPr>
                <w:rFonts w:ascii="Arial" w:cs="Arial" w:eastAsia="Arial" w:hAnsi="Arial"/>
                <w:sz w:val="17"/>
                <w:szCs w:val="17"/>
                <w:b w:val="1"/>
                <w:bCs w:val="1"/>
                <w:color w:val="auto"/>
              </w:rPr>
              <w:t>of Awards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center"/>
              <w:ind w:right="135"/>
              <w:spacing w:after="0"/>
              <w:rPr>
                <w:sz w:val="20"/>
                <w:szCs w:val="20"/>
                <w:color w:val="auto"/>
              </w:rPr>
            </w:pPr>
            <w:r>
              <w:rPr>
                <w:rFonts w:ascii="Arial" w:cs="Arial" w:eastAsia="Arial" w:hAnsi="Arial"/>
                <w:sz w:val="17"/>
                <w:szCs w:val="17"/>
                <w:b w:val="1"/>
                <w:bCs w:val="1"/>
                <w:color w:val="auto"/>
              </w:rPr>
              <w:t>Fair Value</w:t>
            </w:r>
          </w:p>
        </w:tc>
      </w:tr>
      <w:tr>
        <w:trPr>
          <w:trHeight w:val="225"/>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Deferred stock units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83.58</w:t>
            </w:r>
          </w:p>
        </w:tc>
      </w:tr>
      <w:tr>
        <w:trPr>
          <w:trHeight w:val="227"/>
        </w:trPr>
        <w:tc>
          <w:tcPr>
            <w:tcW w:w="3140" w:type="dxa"/>
            <w:vAlign w:val="bottom"/>
            <w:gridSpan w:val="2"/>
          </w:tcPr>
          <w:p>
            <w:pPr>
              <w:ind w:left="20"/>
              <w:spacing w:after="0"/>
              <w:rPr>
                <w:sz w:val="20"/>
                <w:szCs w:val="20"/>
                <w:color w:val="auto"/>
              </w:rPr>
            </w:pPr>
            <w:r>
              <w:rPr>
                <w:rFonts w:ascii="Arial" w:cs="Arial" w:eastAsia="Arial" w:hAnsi="Arial"/>
                <w:sz w:val="17"/>
                <w:szCs w:val="17"/>
                <w:color w:val="auto"/>
              </w:rPr>
              <w:t>Common stock</w:t>
            </w:r>
          </w:p>
        </w:tc>
        <w:tc>
          <w:tcPr>
            <w:tcW w:w="1100" w:type="dxa"/>
            <w:vAlign w:val="bottom"/>
          </w:tcPr>
          <w:p>
            <w:pPr>
              <w:jc w:val="right"/>
              <w:spacing w:after="0"/>
              <w:rPr>
                <w:sz w:val="20"/>
                <w:szCs w:val="20"/>
                <w:color w:val="auto"/>
              </w:rPr>
            </w:pPr>
            <w:r>
              <w:rPr>
                <w:rFonts w:ascii="Arial" w:cs="Arial" w:eastAsia="Arial" w:hAnsi="Arial"/>
                <w:sz w:val="17"/>
                <w:szCs w:val="17"/>
                <w:color w:val="auto"/>
              </w:rPr>
              <w:t>8,468</w:t>
            </w:r>
          </w:p>
        </w:tc>
        <w:tc>
          <w:tcPr>
            <w:tcW w:w="40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54.33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15,652</w:t>
            </w:r>
          </w:p>
        </w:tc>
        <w:tc>
          <w:tcPr>
            <w:tcW w:w="40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42.49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2,512</w:t>
            </w:r>
          </w:p>
        </w:tc>
        <w:tc>
          <w:tcPr>
            <w:tcW w:w="380" w:type="dxa"/>
            <w:vAlign w:val="bottom"/>
            <w:gridSpan w:val="3"/>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83.58</w:t>
            </w:r>
          </w:p>
        </w:tc>
      </w:tr>
      <w:tr>
        <w:trPr>
          <w:trHeight w:val="23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99,820</w:t>
            </w:r>
          </w:p>
        </w:tc>
        <w:tc>
          <w:tcPr>
            <w:tcW w:w="40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61.93</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132,430</w:t>
            </w:r>
          </w:p>
        </w:tc>
        <w:tc>
          <w:tcPr>
            <w:tcW w:w="40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43.92</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72,243</w:t>
            </w:r>
          </w:p>
        </w:tc>
        <w:tc>
          <w:tcPr>
            <w:tcW w:w="38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79.28</w:t>
            </w:r>
          </w:p>
        </w:tc>
      </w:tr>
      <w:tr>
        <w:trPr>
          <w:trHeight w:val="225"/>
        </w:trPr>
        <w:tc>
          <w:tcPr>
            <w:tcW w:w="3140" w:type="dxa"/>
            <w:vAlign w:val="bottom"/>
            <w:gridSpan w:val="2"/>
          </w:tcPr>
          <w:p>
            <w:pPr>
              <w:ind w:left="20"/>
              <w:spacing w:after="0"/>
              <w:rPr>
                <w:sz w:val="20"/>
                <w:szCs w:val="20"/>
                <w:color w:val="auto"/>
              </w:rPr>
            </w:pPr>
            <w:r>
              <w:rPr>
                <w:rFonts w:ascii="Arial" w:cs="Arial" w:eastAsia="Arial" w:hAnsi="Arial"/>
                <w:sz w:val="17"/>
                <w:szCs w:val="17"/>
                <w:color w:val="auto"/>
              </w:rPr>
              <w:t>Performance stock units (1)</w:t>
            </w:r>
          </w:p>
        </w:tc>
        <w:tc>
          <w:tcPr>
            <w:tcW w:w="1100" w:type="dxa"/>
            <w:vAlign w:val="bottom"/>
          </w:tcPr>
          <w:p>
            <w:pPr>
              <w:jc w:val="right"/>
              <w:spacing w:after="0"/>
              <w:rPr>
                <w:sz w:val="20"/>
                <w:szCs w:val="20"/>
                <w:color w:val="auto"/>
              </w:rPr>
            </w:pPr>
            <w:r>
              <w:rPr>
                <w:rFonts w:ascii="Arial" w:cs="Arial" w:eastAsia="Arial" w:hAnsi="Arial"/>
                <w:sz w:val="17"/>
                <w:szCs w:val="17"/>
                <w:color w:val="auto"/>
              </w:rPr>
              <w:t>85,323</w:t>
            </w:r>
          </w:p>
        </w:tc>
        <w:tc>
          <w:tcPr>
            <w:tcW w:w="40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53.22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108,464</w:t>
            </w:r>
          </w:p>
        </w:tc>
        <w:tc>
          <w:tcPr>
            <w:tcW w:w="40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47.00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62,778</w:t>
            </w:r>
          </w:p>
        </w:tc>
        <w:tc>
          <w:tcPr>
            <w:tcW w:w="380" w:type="dxa"/>
            <w:vAlign w:val="bottom"/>
            <w:gridSpan w:val="3"/>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87.84</w:t>
            </w:r>
          </w:p>
        </w:tc>
      </w:tr>
    </w:tbl>
    <w:p>
      <w:pPr>
        <w:spacing w:after="0" w:line="175" w:lineRule="exact"/>
        <w:rPr>
          <w:sz w:val="20"/>
          <w:szCs w:val="20"/>
          <w:color w:val="auto"/>
        </w:rPr>
      </w:pPr>
    </w:p>
    <w:p>
      <w:pPr>
        <w:jc w:val="both"/>
        <w:ind w:left="340" w:hanging="8"/>
        <w:spacing w:after="0" w:line="262" w:lineRule="auto"/>
        <w:tabs>
          <w:tab w:leader="none" w:pos="6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performance stock units (“PSUs”) represent shares granted for which the final number of shares earned depends on financial performance. The number of shares to be issued may vary between 0% and 200% of the number of PSUs granted depending on the relative achievement to targeted thresholds. The Company's PSUs with a financial performance condition are based on the Company’s return on invested capital (“ROIC”) over a one-year period performance period.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options were granted during the years ended December 31, 2023, 2022 and 2021. The Company determines the fair value of stock options granted based on the Black-Scholes option pricing model on the date of grant, and the expected stock volatility is based on volatility of the Company’s stock price using a historical period commensurate with the expected life of the options.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December 31, 2023, the Company has one grant of options outstanding. The following table summarizes the Company's outstanding and exercisable options at December 31, 2023: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9"/>
              </w:rPr>
              <w:t>Weighted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8"/>
              </w:rPr>
              <w:t>Average</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Weighted</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5"/>
              <w:spacing w:after="0"/>
              <w:rPr>
                <w:sz w:val="20"/>
                <w:szCs w:val="20"/>
                <w:color w:val="auto"/>
              </w:rPr>
            </w:pPr>
            <w:r>
              <w:rPr>
                <w:rFonts w:ascii="Arial" w:cs="Arial" w:eastAsia="Arial" w:hAnsi="Arial"/>
                <w:sz w:val="17"/>
                <w:szCs w:val="17"/>
                <w:b w:val="1"/>
                <w:bCs w:val="1"/>
                <w:color w:val="auto"/>
                <w:w w:val="99"/>
              </w:rPr>
              <w:t>Weighted</w:t>
            </w:r>
          </w:p>
        </w:tc>
      </w:tr>
      <w:tr>
        <w:trPr>
          <w:trHeight w:val="203"/>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Remaining</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Average</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35"/>
              <w:spacing w:after="0"/>
              <w:rPr>
                <w:sz w:val="20"/>
                <w:szCs w:val="20"/>
                <w:color w:val="auto"/>
              </w:rPr>
            </w:pPr>
            <w:r>
              <w:rPr>
                <w:rFonts w:ascii="Arial" w:cs="Arial" w:eastAsia="Arial" w:hAnsi="Arial"/>
                <w:sz w:val="17"/>
                <w:szCs w:val="17"/>
                <w:b w:val="1"/>
                <w:bCs w:val="1"/>
                <w:color w:val="auto"/>
                <w:w w:val="98"/>
              </w:rPr>
              <w:t>Average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Options</w:t>
            </w:r>
          </w:p>
        </w:tc>
        <w:tc>
          <w:tcPr>
            <w:tcW w:w="18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Contractual Life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Exercise</w:t>
            </w: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Options</w:t>
            </w:r>
          </w:p>
        </w:tc>
        <w:tc>
          <w:tcPr>
            <w:tcW w:w="24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Arial" w:cs="Arial" w:eastAsia="Arial" w:hAnsi="Arial"/>
                <w:sz w:val="17"/>
                <w:szCs w:val="17"/>
                <w:b w:val="1"/>
                <w:bCs w:val="1"/>
                <w:color w:val="auto"/>
              </w:rPr>
              <w:t>Exercise</w:t>
            </w:r>
          </w:p>
        </w:tc>
      </w:tr>
      <w:tr>
        <w:trPr>
          <w:trHeight w:val="250"/>
        </w:trPr>
        <w:tc>
          <w:tcPr>
            <w:tcW w:w="3340" w:type="dxa"/>
            <w:vAlign w:val="bottom"/>
            <w:gridSpan w:val="2"/>
          </w:tcPr>
          <w:p>
            <w:pPr>
              <w:ind w:left="20"/>
              <w:spacing w:after="0"/>
              <w:rPr>
                <w:sz w:val="20"/>
                <w:szCs w:val="20"/>
                <w:color w:val="auto"/>
              </w:rPr>
            </w:pPr>
            <w:r>
              <w:rPr>
                <w:rFonts w:ascii="Arial" w:cs="Arial" w:eastAsia="Arial" w:hAnsi="Arial"/>
                <w:sz w:val="17"/>
                <w:szCs w:val="17"/>
                <w:b w:val="1"/>
                <w:bCs w:val="1"/>
                <w:color w:val="auto"/>
              </w:rPr>
              <w:t>Exercise Price</w:t>
            </w:r>
          </w:p>
        </w:tc>
        <w:tc>
          <w:tcPr>
            <w:tcW w:w="16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Outstanding</w:t>
            </w:r>
          </w:p>
        </w:tc>
        <w:tc>
          <w:tcPr>
            <w:tcW w:w="18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(in years)</w:t>
            </w: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Price</w:t>
            </w: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Exercisable</w:t>
            </w:r>
          </w:p>
        </w:tc>
        <w:tc>
          <w:tcPr>
            <w:tcW w:w="240" w:type="dxa"/>
            <w:vAlign w:val="bottom"/>
          </w:tcPr>
          <w:p>
            <w:pPr>
              <w:spacing w:after="0"/>
              <w:rPr>
                <w:sz w:val="21"/>
                <w:szCs w:val="21"/>
                <w:color w:val="auto"/>
              </w:rPr>
            </w:pPr>
          </w:p>
        </w:tc>
        <w:tc>
          <w:tcPr>
            <w:tcW w:w="1240" w:type="dxa"/>
            <w:vAlign w:val="bottom"/>
          </w:tcPr>
          <w:p>
            <w:pPr>
              <w:jc w:val="center"/>
              <w:ind w:right="135"/>
              <w:spacing w:after="0"/>
              <w:rPr>
                <w:sz w:val="20"/>
                <w:szCs w:val="20"/>
                <w:color w:val="auto"/>
              </w:rPr>
            </w:pPr>
            <w:r>
              <w:rPr>
                <w:rFonts w:ascii="Arial" w:cs="Arial" w:eastAsia="Arial" w:hAnsi="Arial"/>
                <w:sz w:val="17"/>
                <w:szCs w:val="17"/>
                <w:b w:val="1"/>
                <w:bCs w:val="1"/>
                <w:color w:val="auto"/>
              </w:rPr>
              <w:t>Price</w:t>
            </w:r>
          </w:p>
        </w:tc>
      </w:tr>
      <w:tr>
        <w:trPr>
          <w:trHeight w:val="225"/>
        </w:trPr>
        <w:tc>
          <w:tcPr>
            <w:tcW w:w="3240" w:type="dxa"/>
            <w:vAlign w:val="bottom"/>
            <w:tcBorders>
              <w:top w:val="single" w:sz="8" w:color="auto"/>
            </w:tcBorders>
            <w:shd w:val="clear" w:color="auto" w:fill="CCEEFF"/>
          </w:tcPr>
          <w:p>
            <w:pPr>
              <w:jc w:val="right"/>
              <w:ind w:right="2395"/>
              <w:spacing w:after="0"/>
              <w:rPr>
                <w:sz w:val="20"/>
                <w:szCs w:val="20"/>
                <w:color w:val="auto"/>
              </w:rPr>
            </w:pPr>
            <w:r>
              <w:rPr>
                <w:rFonts w:ascii="Arial" w:cs="Arial" w:eastAsia="Arial" w:hAnsi="Arial"/>
                <w:sz w:val="17"/>
                <w:szCs w:val="17"/>
                <w:color w:val="auto"/>
              </w:rPr>
              <w:t>$39.55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39.55</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39.55</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 transactions: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Weighted</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left="415"/>
              <w:spacing w:after="0"/>
              <w:rPr>
                <w:sz w:val="20"/>
                <w:szCs w:val="20"/>
                <w:color w:val="auto"/>
              </w:rPr>
            </w:pPr>
            <w:r>
              <w:rPr>
                <w:rFonts w:ascii="Arial" w:cs="Arial" w:eastAsia="Arial" w:hAnsi="Arial"/>
                <w:sz w:val="17"/>
                <w:szCs w:val="17"/>
                <w:b w:val="1"/>
                <w:bCs w:val="1"/>
                <w:color w:val="auto"/>
                <w:w w:val="99"/>
              </w:rPr>
              <w:t>Weighted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Average</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left="415"/>
              <w:spacing w:after="0"/>
              <w:rPr>
                <w:sz w:val="20"/>
                <w:szCs w:val="20"/>
                <w:color w:val="auto"/>
              </w:rPr>
            </w:pPr>
            <w:r>
              <w:rPr>
                <w:rFonts w:ascii="Arial" w:cs="Arial" w:eastAsia="Arial" w:hAnsi="Arial"/>
                <w:sz w:val="17"/>
                <w:szCs w:val="17"/>
                <w:b w:val="1"/>
                <w:bCs w:val="1"/>
                <w:color w:val="auto"/>
              </w:rPr>
              <w:t>Average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Remaining</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left="415"/>
              <w:spacing w:after="0"/>
              <w:rPr>
                <w:sz w:val="20"/>
                <w:szCs w:val="20"/>
                <w:color w:val="auto"/>
              </w:rPr>
            </w:pPr>
            <w:r>
              <w:rPr>
                <w:rFonts w:ascii="Arial" w:cs="Arial" w:eastAsia="Arial" w:hAnsi="Arial"/>
                <w:sz w:val="17"/>
                <w:szCs w:val="17"/>
                <w:b w:val="1"/>
                <w:bCs w:val="1"/>
                <w:color w:val="auto"/>
              </w:rPr>
              <w:t>Exercise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Contractual</w:t>
            </w:r>
          </w:p>
        </w:tc>
        <w:tc>
          <w:tcPr>
            <w:tcW w:w="220" w:type="dxa"/>
            <w:vAlign w:val="bottom"/>
          </w:tcPr>
          <w:p>
            <w:pPr>
              <w:spacing w:after="0"/>
              <w:rPr>
                <w:sz w:val="17"/>
                <w:szCs w:val="17"/>
                <w:color w:val="auto"/>
              </w:rPr>
            </w:pPr>
          </w:p>
        </w:tc>
        <w:tc>
          <w:tcPr>
            <w:tcW w:w="1580" w:type="dxa"/>
            <w:vAlign w:val="bottom"/>
          </w:tcPr>
          <w:p>
            <w:pPr>
              <w:jc w:val="center"/>
              <w:ind w:right="135"/>
              <w:spacing w:after="0"/>
              <w:rPr>
                <w:sz w:val="20"/>
                <w:szCs w:val="20"/>
                <w:color w:val="auto"/>
              </w:rPr>
            </w:pPr>
            <w:r>
              <w:rPr>
                <w:rFonts w:ascii="Arial" w:cs="Arial" w:eastAsia="Arial" w:hAnsi="Arial"/>
                <w:sz w:val="17"/>
                <w:szCs w:val="17"/>
                <w:b w:val="1"/>
                <w:bCs w:val="1"/>
                <w:color w:val="auto"/>
                <w:w w:val="99"/>
              </w:rPr>
              <w:t>Aggregate</w:t>
            </w:r>
          </w:p>
        </w:tc>
      </w:tr>
      <w:tr>
        <w:trPr>
          <w:trHeight w:val="259"/>
        </w:trPr>
        <w:tc>
          <w:tcPr>
            <w:tcW w:w="3660" w:type="dxa"/>
            <w:vAlign w:val="bottom"/>
          </w:tcPr>
          <w:p>
            <w:pPr>
              <w:spacing w:after="0"/>
              <w:rPr>
                <w:sz w:val="22"/>
                <w:szCs w:val="22"/>
                <w:color w:val="auto"/>
              </w:rPr>
            </w:pPr>
          </w:p>
        </w:tc>
        <w:tc>
          <w:tcPr>
            <w:tcW w:w="1780" w:type="dxa"/>
            <w:vAlign w:val="bottom"/>
          </w:tcPr>
          <w:p>
            <w:pPr>
              <w:jc w:val="right"/>
              <w:ind w:right="475"/>
              <w:spacing w:after="0"/>
              <w:rPr>
                <w:sz w:val="20"/>
                <w:szCs w:val="20"/>
                <w:color w:val="auto"/>
              </w:rPr>
            </w:pPr>
            <w:r>
              <w:rPr>
                <w:rFonts w:ascii="Arial" w:cs="Arial" w:eastAsia="Arial" w:hAnsi="Arial"/>
                <w:sz w:val="17"/>
                <w:szCs w:val="17"/>
                <w:b w:val="1"/>
                <w:bCs w:val="1"/>
                <w:color w:val="auto"/>
              </w:rPr>
              <w:t>Options</w:t>
            </w:r>
          </w:p>
        </w:tc>
        <w:tc>
          <w:tcPr>
            <w:tcW w:w="100" w:type="dxa"/>
            <w:vAlign w:val="bottom"/>
          </w:tcPr>
          <w:p>
            <w:pPr>
              <w:spacing w:after="0"/>
              <w:rPr>
                <w:sz w:val="22"/>
                <w:szCs w:val="22"/>
                <w:color w:val="auto"/>
              </w:rPr>
            </w:pPr>
          </w:p>
        </w:tc>
        <w:tc>
          <w:tcPr>
            <w:tcW w:w="1300" w:type="dxa"/>
            <w:vAlign w:val="bottom"/>
          </w:tcPr>
          <w:p>
            <w:pPr>
              <w:jc w:val="center"/>
              <w:ind w:left="415"/>
              <w:spacing w:after="0"/>
              <w:rPr>
                <w:sz w:val="20"/>
                <w:szCs w:val="20"/>
                <w:color w:val="auto"/>
              </w:rPr>
            </w:pPr>
            <w:r>
              <w:rPr>
                <w:rFonts w:ascii="Arial" w:cs="Arial" w:eastAsia="Arial" w:hAnsi="Arial"/>
                <w:sz w:val="17"/>
                <w:szCs w:val="17"/>
                <w:b w:val="1"/>
                <w:bCs w:val="1"/>
                <w:color w:val="auto"/>
                <w:w w:val="96"/>
              </w:rPr>
              <w:t>Price</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Life (in years)</w:t>
            </w:r>
          </w:p>
        </w:tc>
        <w:tc>
          <w:tcPr>
            <w:tcW w:w="220" w:type="dxa"/>
            <w:vAlign w:val="bottom"/>
          </w:tcPr>
          <w:p>
            <w:pPr>
              <w:spacing w:after="0"/>
              <w:rPr>
                <w:sz w:val="22"/>
                <w:szCs w:val="22"/>
                <w:color w:val="auto"/>
              </w:rPr>
            </w:pPr>
          </w:p>
        </w:tc>
        <w:tc>
          <w:tcPr>
            <w:tcW w:w="1580" w:type="dxa"/>
            <w:vAlign w:val="bottom"/>
          </w:tcPr>
          <w:p>
            <w:pPr>
              <w:jc w:val="center"/>
              <w:ind w:right="135"/>
              <w:spacing w:after="0"/>
              <w:rPr>
                <w:sz w:val="20"/>
                <w:szCs w:val="20"/>
                <w:color w:val="auto"/>
              </w:rPr>
            </w:pPr>
            <w:r>
              <w:rPr>
                <w:rFonts w:ascii="Arial" w:cs="Arial" w:eastAsia="Arial" w:hAnsi="Arial"/>
                <w:sz w:val="17"/>
                <w:szCs w:val="17"/>
                <w:b w:val="1"/>
                <w:bCs w:val="1"/>
                <w:color w:val="auto"/>
                <w:w w:val="99"/>
              </w:rPr>
              <w:t>Intrinsic Value</w:t>
            </w:r>
          </w:p>
        </w:tc>
      </w:tr>
      <w:tr>
        <w:trPr>
          <w:trHeight w:val="230"/>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 2021</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41,500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095"/>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29.38</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27"/>
        </w:trPr>
        <w:tc>
          <w:tcPr>
            <w:tcW w:w="36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Exercised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(36,500)</w:t>
            </w:r>
          </w:p>
        </w:tc>
        <w:tc>
          <w:tcPr>
            <w:tcW w:w="1400" w:type="dxa"/>
            <w:vAlign w:val="bottom"/>
            <w:tcBorders>
              <w:bottom w:val="single" w:sz="8" w:color="CCEEFF"/>
            </w:tcBorders>
            <w:gridSpan w:val="2"/>
          </w:tcPr>
          <w:p>
            <w:pPr>
              <w:jc w:val="right"/>
              <w:ind w:right="109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3"/>
              </w:rPr>
              <w:t>27.99</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r>
      <w:tr>
        <w:trPr>
          <w:trHeight w:val="225"/>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400" w:type="dxa"/>
            <w:vAlign w:val="bottom"/>
            <w:gridSpan w:val="2"/>
            <w:shd w:val="clear" w:color="auto" w:fill="CCEEFF"/>
          </w:tcPr>
          <w:p>
            <w:pPr>
              <w:jc w:val="right"/>
              <w:ind w:right="109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39.55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7"/>
        </w:trPr>
        <w:tc>
          <w:tcPr>
            <w:tcW w:w="36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Exercised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tcPr>
          <w:p>
            <w:pPr>
              <w:jc w:val="right"/>
              <w:ind w:right="109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r>
      <w:tr>
        <w:trPr>
          <w:trHeight w:val="225"/>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400" w:type="dxa"/>
            <w:vAlign w:val="bottom"/>
            <w:gridSpan w:val="2"/>
            <w:shd w:val="clear" w:color="auto" w:fill="CCEEFF"/>
          </w:tcPr>
          <w:p>
            <w:pPr>
              <w:jc w:val="right"/>
              <w:ind w:right="109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39.55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7"/>
        </w:trPr>
        <w:tc>
          <w:tcPr>
            <w:tcW w:w="36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Exercised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tcPr>
          <w:p>
            <w:pPr>
              <w:jc w:val="right"/>
              <w:ind w:right="109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400" w:type="dxa"/>
            <w:vAlign w:val="bottom"/>
            <w:tcBorders>
              <w:bottom w:val="single" w:sz="8" w:color="CCEEFF"/>
            </w:tcBorders>
            <w:gridSpan w:val="2"/>
            <w:shd w:val="clear" w:color="auto" w:fill="CCEEFF"/>
          </w:tcPr>
          <w:p>
            <w:pPr>
              <w:jc w:val="right"/>
              <w:ind w:right="109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39.55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6"/>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197,150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aggregate intrinsic value in the preceding table represents the total pre-tax intrinsic value, based on the $78.98 per share market price of the Company’s common stock as of December 31, 2023, which would have been received by the option holder had the option holder exercised the options as of that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Units and Common Stock</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information about non-vested restricted stock units and performance stock units (that will convert to shares upon vesting) and common stock:</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Average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Deferred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Grant Date</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Common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Grant Date</w:t>
            </w: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Performance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 Date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40"/>
        </w:trPr>
        <w:tc>
          <w:tcPr>
            <w:tcW w:w="17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9"/>
              </w:rPr>
              <w:t>Units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Fair Value</w:t>
            </w: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Fair Value</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Stock Units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Fair Value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Units (2)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199"/>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w:t>
            </w: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w:t>
            </w:r>
          </w:p>
        </w:tc>
        <w:tc>
          <w:tcPr>
            <w:tcW w:w="0" w:type="dxa"/>
            <w:vAlign w:val="bottom"/>
          </w:tcPr>
          <w:p>
            <w:pPr>
              <w:spacing w:after="0"/>
              <w:rPr>
                <w:sz w:val="1"/>
                <w:szCs w:val="1"/>
                <w:color w:val="auto"/>
              </w:rPr>
            </w:pPr>
          </w:p>
        </w:tc>
      </w:tr>
      <w:tr>
        <w:trPr>
          <w:trHeight w:val="215"/>
        </w:trPr>
        <w:tc>
          <w:tcPr>
            <w:tcW w:w="176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80" w:type="dxa"/>
            <w:vAlign w:val="bottom"/>
          </w:tcPr>
          <w:p>
            <w:pPr>
              <w:jc w:val="right"/>
              <w:spacing w:after="0"/>
              <w:rPr>
                <w:sz w:val="20"/>
                <w:szCs w:val="20"/>
                <w:color w:val="auto"/>
              </w:rPr>
            </w:pPr>
            <w:r>
              <w:rPr>
                <w:rFonts w:ascii="Arial" w:cs="Arial" w:eastAsia="Arial" w:hAnsi="Arial"/>
                <w:sz w:val="16"/>
                <w:szCs w:val="16"/>
                <w:color w:val="auto"/>
              </w:rPr>
              <w:t>99,820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61.93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8,468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54.33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85,323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53.22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6,351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760" w:type="dxa"/>
            <w:vAlign w:val="bottom"/>
          </w:tcPr>
          <w:p>
            <w:pPr>
              <w:ind w:left="240"/>
              <w:spacing w:after="0"/>
              <w:rPr>
                <w:sz w:val="20"/>
                <w:szCs w:val="20"/>
                <w:color w:val="auto"/>
              </w:rPr>
            </w:pPr>
            <w:r>
              <w:rPr>
                <w:rFonts w:ascii="Arial" w:cs="Arial" w:eastAsia="Arial" w:hAnsi="Arial"/>
                <w:sz w:val="16"/>
                <w:szCs w:val="16"/>
                <w:color w:val="auto"/>
              </w:rPr>
              <w:t>Vested</w:t>
            </w:r>
          </w:p>
        </w:tc>
        <w:tc>
          <w:tcPr>
            <w:tcW w:w="1080" w:type="dxa"/>
            <w:vAlign w:val="bottom"/>
          </w:tcPr>
          <w:p>
            <w:pPr>
              <w:jc w:val="right"/>
              <w:spacing w:after="0"/>
              <w:rPr>
                <w:sz w:val="20"/>
                <w:szCs w:val="20"/>
                <w:color w:val="auto"/>
              </w:rPr>
            </w:pPr>
            <w:r>
              <w:rPr>
                <w:rFonts w:ascii="Arial" w:cs="Arial" w:eastAsia="Arial" w:hAnsi="Arial"/>
                <w:sz w:val="16"/>
                <w:szCs w:val="16"/>
                <w:color w:val="auto"/>
              </w:rPr>
              <w:t>(77,312)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53.37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(8,468)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54.33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(71,106)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51.74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Forfeited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760" w:type="dxa"/>
            <w:vAlign w:val="bottom"/>
          </w:tcPr>
          <w:p>
            <w:pPr>
              <w:ind w:left="20"/>
              <w:spacing w:after="0"/>
              <w:rPr>
                <w:sz w:val="20"/>
                <w:szCs w:val="20"/>
                <w:color w:val="auto"/>
              </w:rPr>
            </w:pPr>
            <w:r>
              <w:rPr>
                <w:rFonts w:ascii="Arial" w:cs="Arial" w:eastAsia="Arial" w:hAnsi="Arial"/>
                <w:sz w:val="16"/>
                <w:szCs w:val="16"/>
                <w:color w:val="auto"/>
              </w:rPr>
              <w:t>Balance at December</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232,970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136,246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44,479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60" w:type="dxa"/>
            <w:vAlign w:val="bottom"/>
          </w:tcPr>
          <w:p>
            <w:pPr>
              <w:ind w:left="20"/>
              <w:spacing w:after="0"/>
              <w:rPr>
                <w:sz w:val="20"/>
                <w:szCs w:val="20"/>
                <w:color w:val="auto"/>
              </w:rPr>
            </w:pPr>
            <w:r>
              <w:rPr>
                <w:rFonts w:ascii="Arial" w:cs="Arial" w:eastAsia="Arial" w:hAnsi="Arial"/>
                <w:sz w:val="16"/>
                <w:szCs w:val="16"/>
                <w:color w:val="auto"/>
              </w:rPr>
              <w:t>31, 2023</w:t>
            </w:r>
          </w:p>
        </w:tc>
        <w:tc>
          <w:tcPr>
            <w:tcW w:w="1080" w:type="dxa"/>
            <w:vAlign w:val="bottom"/>
            <w:tcBorders>
              <w:bottom w:val="single" w:sz="8" w:color="auto"/>
            </w:tcBorders>
            <w:vMerge w:val="continue"/>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53.75</w:t>
            </w:r>
          </w:p>
        </w:tc>
        <w:tc>
          <w:tcPr>
            <w:tcW w:w="10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vMerge w:val="continue"/>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52.27</w:t>
            </w:r>
          </w:p>
        </w:tc>
        <w:tc>
          <w:tcPr>
            <w:tcW w:w="10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46.90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8"/>
        <w:spacing w:after="0" w:line="26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40,610 units of the Company's PSUs granted in 2022 were adjusted in the first quarter of 2023 to reflect 60.5% of the target amount granted based on the Company's actual ROIC compared to ROIC target for the performance period ended December 31, 2022; and (ii) 30,000 units of the Company's TSR PSUs granted in 2020 for which the performance condition was not achieved and the PSUs were adjusted in the first quarter of</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2023 to reflect zero earned as the threshold level of achievement was not met based on performance criteria as defined in the respective awards over a three-year performance period which ended March 1, 2023.</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Vested and issuable upon termination from service as a member of the Company's Board of Directors.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the common stock, restricted stock units, and deferred stock units, as well as the performance stock units with a financial performance condition granted during the three years ended December 31, 2023 was based on the Company's stock price at grant date of the award.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aggregate intrinsic value of options exercised and aggregate fair value of restricted stock units and restricted shares that vested during the years ended December 31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r>
      <w:tr>
        <w:trPr>
          <w:trHeight w:val="225"/>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intrinsic value of options exercised</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w:t>
            </w:r>
          </w:p>
        </w:tc>
      </w:tr>
      <w:tr>
        <w:trPr>
          <w:trHeight w:val="227"/>
        </w:trPr>
        <w:tc>
          <w:tcPr>
            <w:tcW w:w="6660" w:type="dxa"/>
            <w:vAlign w:val="bottom"/>
          </w:tcPr>
          <w:p>
            <w:pPr>
              <w:ind w:left="20"/>
              <w:spacing w:after="0"/>
              <w:rPr>
                <w:sz w:val="20"/>
                <w:szCs w:val="20"/>
                <w:color w:val="auto"/>
              </w:rPr>
            </w:pPr>
            <w:r>
              <w:rPr>
                <w:rFonts w:ascii="Arial" w:cs="Arial" w:eastAsia="Arial" w:hAnsi="Arial"/>
                <w:sz w:val="17"/>
                <w:szCs w:val="17"/>
                <w:color w:val="auto"/>
              </w:rPr>
              <w:t>Aggregate fair value of vested restricted stock units</w:t>
            </w:r>
          </w:p>
        </w:tc>
        <w:tc>
          <w:tcPr>
            <w:tcW w:w="940" w:type="dxa"/>
            <w:vAlign w:val="bottom"/>
          </w:tcPr>
          <w:p>
            <w:pPr>
              <w:jc w:val="right"/>
              <w:ind w:right="735"/>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4,740</w:t>
            </w:r>
          </w:p>
        </w:tc>
        <w:tc>
          <w:tcPr>
            <w:tcW w:w="120" w:type="dxa"/>
            <w:vAlign w:val="bottom"/>
          </w:tcPr>
          <w:p>
            <w:pPr>
              <w:spacing w:after="0"/>
              <w:rPr>
                <w:sz w:val="19"/>
                <w:szCs w:val="19"/>
                <w:color w:val="auto"/>
              </w:rPr>
            </w:pPr>
          </w:p>
        </w:tc>
        <w:tc>
          <w:tcPr>
            <w:tcW w:w="920" w:type="dxa"/>
            <w:vAlign w:val="bottom"/>
          </w:tcPr>
          <w:p>
            <w:pPr>
              <w:jc w:val="right"/>
              <w:ind w:right="735"/>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3,920</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6,320</w:t>
            </w:r>
          </w:p>
        </w:tc>
      </w:tr>
      <w:tr>
        <w:trPr>
          <w:trHeight w:val="23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fair value of vested common stock</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27"/>
        </w:trPr>
        <w:tc>
          <w:tcPr>
            <w:tcW w:w="6660" w:type="dxa"/>
            <w:vAlign w:val="bottom"/>
          </w:tcPr>
          <w:p>
            <w:pPr>
              <w:ind w:left="20"/>
              <w:spacing w:after="0"/>
              <w:rPr>
                <w:sz w:val="20"/>
                <w:szCs w:val="20"/>
                <w:color w:val="auto"/>
              </w:rPr>
            </w:pPr>
            <w:r>
              <w:rPr>
                <w:rFonts w:ascii="Arial" w:cs="Arial" w:eastAsia="Arial" w:hAnsi="Arial"/>
                <w:sz w:val="17"/>
                <w:szCs w:val="17"/>
                <w:color w:val="auto"/>
              </w:rPr>
              <w:t>Aggregate fair value of vested performance stock units</w:t>
            </w:r>
          </w:p>
        </w:tc>
        <w:tc>
          <w:tcPr>
            <w:tcW w:w="940" w:type="dxa"/>
            <w:vAlign w:val="bottom"/>
          </w:tcPr>
          <w:p>
            <w:pPr>
              <w:jc w:val="right"/>
              <w:ind w:right="735"/>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3,999</w:t>
            </w:r>
          </w:p>
        </w:tc>
        <w:tc>
          <w:tcPr>
            <w:tcW w:w="120" w:type="dxa"/>
            <w:vAlign w:val="bottom"/>
          </w:tcPr>
          <w:p>
            <w:pPr>
              <w:spacing w:after="0"/>
              <w:rPr>
                <w:sz w:val="19"/>
                <w:szCs w:val="19"/>
                <w:color w:val="auto"/>
              </w:rPr>
            </w:pPr>
          </w:p>
        </w:tc>
        <w:tc>
          <w:tcPr>
            <w:tcW w:w="920" w:type="dxa"/>
            <w:vAlign w:val="bottom"/>
          </w:tcPr>
          <w:p>
            <w:pPr>
              <w:jc w:val="right"/>
              <w:ind w:right="735"/>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6,729</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9,080</w:t>
            </w:r>
          </w:p>
        </w:tc>
      </w:tr>
      <w:tr>
        <w:trPr>
          <w:trHeight w:val="23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fair value of vested deferred stock units</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December 31, 2023, there was $13.1 million of total unrecognized compensation cost related to non-vested restricted and performance stock units. That cost is expected to be recognized over a weighted average period of 2.0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Based Awards - Settled in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Stock Purchase Plan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equity-based awards that are settled in cash are the awards under the Management Stock Purchase Plan (the "MSPP") which is authorized under the Company's equity incentive plans. The MSPP provides participants the ability to defer a portion of their compensation, convertible to unrestricted investments, restricted stock units, or a combination of both, or defer a portion of their directors’ fees, convertible to restricted stock units. Employees eligible to defer a portion of their compensation also receive a company-matching award in restricted stock units equal to a percentage of their deferred compensation.</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deferrals and related company match are credited to an account that represents a share-based liability. The portion of the account deferred to unrestricted investments is measured at fair market value of the unrestricted investments, and the portion of the account deferred to restricted stock units and company-matching restricted stock units is measured at a 200-day average of the Company's stock price. The account will be converted to and settled in cash payable to participants upon retirement or a termination of their service to the Company.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MSPP liabilities recorded on the consolidated balance sheet as of December 31, 2023 were $20.0 million, of which $2.0 million was included in current accrued expenses and $18.0 million was included in non-current liabilities. Total MSPP liabilities recorded on the consolidated balance sheet as of December 31, 2022 were $15.4 million, of which $2.3 million was included in current accrued expenses and $13.1 million was included in non-current liabilities. The value of the restricted stock units within the MSPP liabilities was $17.3 million and $13.4 million at December 31, 2023 and 2022, respectively.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provides the number of restricted stock units credited to active participant accounts, balance of vested and unvested restricted stock units within active participant accounts, payments made with respect to MSPP liabilities and MSPP expense during years ended December 31: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6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credited</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30,475</w:t>
            </w:r>
          </w:p>
        </w:tc>
        <w:tc>
          <w:tcPr>
            <w:tcW w:w="20" w:type="dxa"/>
            <w:vAlign w:val="bottom"/>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Restricted stock units balance, vested and unvested</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199,946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223,892</w:t>
            </w:r>
          </w:p>
        </w:tc>
        <w:tc>
          <w:tcPr>
            <w:tcW w:w="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liabilities paid (in thousands)</w:t>
            </w: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20" w:type="dxa"/>
            <w:vAlign w:val="bottom"/>
          </w:tcPr>
          <w:p>
            <w:pPr>
              <w:spacing w:after="0"/>
              <w:rPr>
                <w:sz w:val="19"/>
                <w:szCs w:val="19"/>
                <w:color w:val="auto"/>
              </w:rPr>
            </w:pPr>
          </w:p>
        </w:tc>
      </w:tr>
      <w:tr>
        <w:trPr>
          <w:trHeight w:val="239"/>
        </w:trPr>
        <w:tc>
          <w:tcPr>
            <w:tcW w:w="4860" w:type="dxa"/>
            <w:vAlign w:val="bottom"/>
          </w:tcPr>
          <w:p>
            <w:pPr>
              <w:ind w:left="20"/>
              <w:spacing w:after="0"/>
              <w:rPr>
                <w:sz w:val="20"/>
                <w:szCs w:val="20"/>
                <w:color w:val="auto"/>
              </w:rPr>
            </w:pPr>
            <w:r>
              <w:rPr>
                <w:rFonts w:ascii="Arial" w:cs="Arial" w:eastAsia="Arial" w:hAnsi="Arial"/>
                <w:sz w:val="18"/>
                <w:szCs w:val="18"/>
                <w:color w:val="auto"/>
              </w:rPr>
              <w:t>MSPP expense (recovery) (in thousands)</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6,034</w:t>
            </w:r>
          </w:p>
        </w:tc>
        <w:tc>
          <w:tcPr>
            <w:tcW w:w="20" w:type="dxa"/>
            <w:vAlign w:val="bottom"/>
          </w:tcPr>
          <w:p>
            <w:pPr>
              <w:spacing w:after="0"/>
              <w:rPr>
                <w:sz w:val="20"/>
                <w:szCs w:val="20"/>
                <w:color w:val="auto"/>
              </w:rPr>
            </w:pPr>
          </w:p>
        </w:tc>
      </w:tr>
      <w:tr>
        <w:trPr>
          <w:trHeight w:val="845"/>
        </w:trPr>
        <w:tc>
          <w:tcPr>
            <w:tcW w:w="4860" w:type="dxa"/>
            <w:vAlign w:val="bottom"/>
          </w:tcPr>
          <w:p>
            <w:pPr>
              <w:spacing w:after="0"/>
              <w:rPr>
                <w:sz w:val="24"/>
                <w:szCs w:val="24"/>
                <w:color w:val="auto"/>
              </w:rPr>
            </w:pPr>
          </w:p>
        </w:tc>
        <w:tc>
          <w:tcPr>
            <w:tcW w:w="1800" w:type="dxa"/>
            <w:vAlign w:val="bottom"/>
          </w:tcPr>
          <w:p>
            <w:pPr>
              <w:jc w:val="right"/>
              <w:ind w:right="85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8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Depending on the nature of the asset or liability, various techniques and assumptions can be used to estimate fair value. A financial asset or liability’s classification within the hierarchy is determined based on the lowest level input that is significant to the fair value measurement as follows:</w:t>
      </w:r>
    </w:p>
    <w:p>
      <w:pPr>
        <w:spacing w:after="0" w:line="1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 active markets for similar assets and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 Inputs that are unobservable inputs for the asset or liability.</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had no financial assets or liabilities measured at fair value on a recurring basis and did not have any financial instruments for which carrying value differed from its fair value at December 31, 2023 and 2022. As of December 31, 2023, the Company had no outstanding indebtedness on its revolving credit facility under its Credit Agreement. The Company had $91.0 million outstanding on its revolving credit facility as of December 31, 2022.</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other financial instruments primarily consist of cash and cash equivalents, accounts receivable, and accounts payable. The carrying values for these financial instruments approximate fair value. The Company did not have any other material assets or liabilities carried at fair value and measured on a recurring basis as of December 31, 2023 and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non-recurring fair value measurements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impairment of property, plant and equipment during the year ended December 31, 2022 and recognized impairment charges related to certain intangible assets during the years ended December 31, 2023 and 2021. The Company uses unobservable inputs, classified as Level 3 inputs, in determining the fair value of these assets. See Note 7 "Goodwill and Related Intangible Assets," Note 14 "Discontinued Operations" and Note 15 "Exit Activity Costs and Asset Impairments" for more disclosure regarding the impairment of certain intangible assets and property, plant, and equipment, respectively.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applied fair value principles for the goodwill impairment tests performed during 2023, 2022, and 2021. The Company used two valuation models to estimate the fair values of its reporting units, both of which primarily use Level 3 inputs. See Note 7 "Goodwill and Related Intangible Assets" of the consolidated financial statements for the results of the Company’s goodwill impairment tests.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Additionally, the Company's recent acquisition activity, as described in Note 6 "Acquisitions," used Level 3 inputs to estimate fair values allocated to the assets acquired and liabilities assumed.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DISCONTINUED OPERATIONS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23, 2021, the Company sold the stock of its Industrial business which had been classified as held for sale and reported as a discontinued operation in the Company’s consolidated financial statements for the year ended December 31, 2021. Net proceeds of $38 million, consisting of cash and a $13 million seller note, resulted in a pre-tax loss of $ 30 million, of which $29.6 million was recorded when the assets of the Industrial business were written down to fair market value during the fourth quarter of 2020. The seller note was paid in full to the Company during the second quarter of 2021. The results of operations of the Industrial business have been presented as a discontinued operation in the Company's consolidated statements of income for all periods presented.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was no income from discontinued operations before taxes for the years ended December 31, 2023 and 2022. For the year ended December 31, 2021, income from discontinued operations before taxes of $1.5 million consisted of net sales of $20.4 million, operating expenses of $17.5 million, and adjustment to loss on disposal of $1.4 million.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1, 2023, the Company sold its Japan-based solar racking business within its Renewables segment to a third party. The $8.0 million net proceeds from the sale resulted in a pre-tax net loss of $0.6 million and has been presented within other (income) expense in the consolidated statements of income. This divestiture did not meet the criteria to be recorded as a discontinued operation nor did it have a major effect on the Company's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EXIT ACTIVITY COSTS AND ASSET IMPAIRMENTS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incurred exit activity costs and asset impairment charges as a result of its 80/20 simplification and portfolio management initiatives. These initiatives have resulted in the identification of low-volume, low margin, internally-produced products which have been or will be outsourced or discontinued, the simplification of processes, in the sale and exiting of less profitable businesses or products lines, and the reduction in the Company's manufacturing footprint.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process simplification initiatives, the Company has incurred exit activity costs (recoveries) related to moving and closing costs, severance and contract terminations, along with asset impairment charges related to the write-down of inventory and impairment of machinery and equipment associated with discontinued product lines. Additionally, the Company has incurred the aforementioned costs resulting from the sale, relocation and/or closure of facilities including two closures and one relocation in 2022 and four facility closures in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exit activity costs (recoveries) and asset impairment charges incurred by segment during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related to the restructuring activities described above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Exit Activity</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5"/>
                <w:szCs w:val="15"/>
                <w:b w:val="1"/>
                <w:bCs w:val="1"/>
                <w:color w:val="auto"/>
              </w:rPr>
              <w:t>Asset</w:t>
            </w:r>
          </w:p>
        </w:tc>
        <w:tc>
          <w:tcPr>
            <w:tcW w:w="1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Total</w:t>
            </w:r>
          </w:p>
        </w:tc>
        <w:tc>
          <w:tcPr>
            <w:tcW w:w="112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Exit Activity</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5"/>
                <w:szCs w:val="15"/>
                <w:b w:val="1"/>
                <w:bCs w:val="1"/>
                <w:color w:val="auto"/>
                <w:w w:val="97"/>
              </w:rPr>
              <w:t>Asset</w:t>
            </w:r>
          </w:p>
        </w:tc>
        <w:tc>
          <w:tcPr>
            <w:tcW w:w="18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Exit Activity</w:t>
            </w: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5"/>
                <w:szCs w:val="15"/>
                <w:b w:val="1"/>
                <w:bCs w:val="1"/>
                <w:color w:val="auto"/>
              </w:rPr>
              <w:t>Asset</w:t>
            </w:r>
          </w:p>
        </w:tc>
        <w:tc>
          <w:tcPr>
            <w:tcW w:w="180" w:type="dxa"/>
            <w:vAlign w:val="bottom"/>
          </w:tcPr>
          <w:p>
            <w:pPr>
              <w:spacing w:after="0"/>
              <w:rPr>
                <w:sz w:val="12"/>
                <w:szCs w:val="12"/>
                <w:color w:val="auto"/>
              </w:rPr>
            </w:pPr>
          </w:p>
        </w:tc>
        <w:tc>
          <w:tcPr>
            <w:tcW w:w="660" w:type="dxa"/>
            <w:vAlign w:val="bottom"/>
            <w:vMerge w:val="restart"/>
          </w:tcPr>
          <w:p>
            <w:pPr>
              <w:jc w:val="right"/>
              <w:ind w:right="1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Impairment</w:t>
            </w: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Impairment</w:t>
            </w: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Impairment</w:t>
            </w: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Renewables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5,962</w:t>
            </w:r>
          </w:p>
        </w:tc>
        <w:tc>
          <w:tcPr>
            <w:tcW w:w="0" w:type="dxa"/>
            <w:vAlign w:val="bottom"/>
          </w:tcPr>
          <w:p>
            <w:pPr>
              <w:spacing w:after="0"/>
              <w:rPr>
                <w:sz w:val="1"/>
                <w:szCs w:val="1"/>
                <w:color w:val="auto"/>
              </w:rPr>
            </w:pPr>
          </w:p>
        </w:tc>
      </w:tr>
      <w:tr>
        <w:trPr>
          <w:trHeight w:val="215"/>
        </w:trPr>
        <w:tc>
          <w:tcPr>
            <w:tcW w:w="128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Agtech</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5"/>
        </w:trPr>
        <w:tc>
          <w:tcPr>
            <w:tcW w:w="1280" w:type="dxa"/>
            <w:vAlign w:val="bottom"/>
          </w:tcPr>
          <w:p>
            <w:pPr>
              <w:ind w:left="20"/>
              <w:spacing w:after="0"/>
              <w:rPr>
                <w:sz w:val="20"/>
                <w:szCs w:val="20"/>
                <w:color w:val="auto"/>
              </w:rPr>
            </w:pPr>
            <w:r>
              <w:rPr>
                <w:rFonts w:ascii="Arial" w:cs="Arial" w:eastAsia="Arial" w:hAnsi="Arial"/>
                <w:sz w:val="16"/>
                <w:szCs w:val="16"/>
                <w:color w:val="auto"/>
              </w:rPr>
              <w:t>Infrastructure</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9,204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14,191</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6,039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2,276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8,315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8,213</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provides a summary of where the above exit activity costs and asset impairments are recorded in the consolidated statements of income for the years ended December 31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exit activity costs and asset impairments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reconciles the beginning and ending liability for exit activity costs relating to the Company’s restructuring efforts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7"/>
              </w:rPr>
              <w:t>2,417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Exit activity costs recognized</w:t>
            </w:r>
          </w:p>
        </w:tc>
        <w:tc>
          <w:tcPr>
            <w:tcW w:w="320" w:type="dxa"/>
            <w:vAlign w:val="bottom"/>
          </w:tcPr>
          <w:p>
            <w:pPr>
              <w:spacing w:after="0"/>
              <w:rPr>
                <w:sz w:val="19"/>
                <w:szCs w:val="19"/>
                <w:color w:val="auto"/>
              </w:rPr>
            </w:pPr>
          </w:p>
        </w:tc>
        <w:tc>
          <w:tcPr>
            <w:tcW w:w="1120" w:type="dxa"/>
            <w:vAlign w:val="bottom"/>
          </w:tcPr>
          <w:p>
            <w:pPr>
              <w:jc w:val="center"/>
              <w:ind w:left="430"/>
              <w:spacing w:after="0"/>
              <w:rPr>
                <w:sz w:val="20"/>
                <w:szCs w:val="20"/>
                <w:color w:val="auto"/>
              </w:rPr>
            </w:pPr>
            <w:r>
              <w:rPr>
                <w:rFonts w:ascii="Arial" w:cs="Arial" w:eastAsia="Arial" w:hAnsi="Arial"/>
                <w:sz w:val="18"/>
                <w:szCs w:val="18"/>
                <w:color w:val="auto"/>
                <w:w w:val="97"/>
              </w:rPr>
              <w:t>9,204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6,039</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rPr>
              <w:t>(4,896)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7"/>
              </w:rPr>
              <w:t>6,725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reverse.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components of income before taxes from continuing operations consisted of the following for the years ended December 31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93,155</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 from continuing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99,562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from continuing operations for the years ended December 31 consisted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21,579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16,137</w:t>
            </w:r>
          </w:p>
        </w:tc>
      </w:tr>
      <w:tr>
        <w:trPr>
          <w:trHeight w:val="229"/>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r>
      <w:tr>
        <w:trPr>
          <w:trHeight w:val="229"/>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r>
      <w:tr>
        <w:trPr>
          <w:trHeight w:val="223"/>
        </w:trPr>
        <w:tc>
          <w:tcPr>
            <w:tcW w:w="6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23"/>
        </w:trPr>
        <w:tc>
          <w:tcPr>
            <w:tcW w:w="66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provision for income taxes from continuing operations differs from the federal statutory rate of 21% due to the following for the years ended December 31 (in thousands, except for percentages) :</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2023</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State taxes, less federal effect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60" w:type="dxa"/>
            <w:vAlign w:val="bottom"/>
          </w:tcPr>
          <w:p>
            <w:pPr>
              <w:ind w:left="20"/>
              <w:spacing w:after="0" w:line="183" w:lineRule="exact"/>
              <w:rPr>
                <w:sz w:val="20"/>
                <w:szCs w:val="20"/>
                <w:color w:val="auto"/>
              </w:rPr>
            </w:pPr>
            <w:r>
              <w:rPr>
                <w:rFonts w:ascii="Arial" w:cs="Arial" w:eastAsia="Arial" w:hAnsi="Arial"/>
                <w:sz w:val="18"/>
                <w:szCs w:val="18"/>
                <w:color w:val="auto"/>
              </w:rPr>
              <w:t>Excess tax benefit on stock based</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36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3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compensation</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20" w:type="dxa"/>
            <w:vAlign w:val="bottom"/>
          </w:tcPr>
          <w:p>
            <w:pPr>
              <w:spacing w:after="0"/>
              <w:rPr>
                <w:sz w:val="20"/>
                <w:szCs w:val="20"/>
                <w:color w:val="auto"/>
              </w:rPr>
            </w:pPr>
            <w:r>
              <w:rPr>
                <w:rFonts w:ascii="Arial" w:cs="Arial" w:eastAsia="Arial" w:hAnsi="Arial"/>
                <w:sz w:val="18"/>
                <w:szCs w:val="18"/>
                <w:color w:val="auto"/>
              </w:rPr>
              <w:t>Deferred tax liabilities at December 31 consisted of the following (in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06"/>
        </w:trPr>
        <w:tc>
          <w:tcPr>
            <w:tcW w:w="8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62,132</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3,706</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22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Gross deferred tax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88,541</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research and development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Equity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(13,669)</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loss carryforward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(10,417)</w:t>
            </w:r>
          </w:p>
        </w:tc>
      </w:tr>
      <w:tr>
        <w:trPr>
          <w:trHeight w:val="22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(68,148)</w:t>
            </w: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Valuation allowances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26,488</w:t>
            </w:r>
          </w:p>
        </w:tc>
      </w:tr>
      <w:tr>
        <w:trPr>
          <w:trHeight w:val="22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 net of valuation allowances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(41,660)</w:t>
            </w: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46,881</w:t>
            </w: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2023, the Company had total net operating loss carry forwards of $ 17.5 million, which included $ 0.3 million for federal, $16.5 million for state, and $ 0.7 million for foreign income tax purposes. The federal and state net operating loss carry forwards expire between 2024 and 2043. The foreign net operating loss carry forwards expire between 2024 and 2043. The Company recognized a total of $1.1 million of deferred tax assets, net of the federal tax benefit, related to these net operating losses prior to any valuation allowances, which included $0.1 million of federal and $0.8 million of state deferred tax assets and $0.2 million of foreign deferred tax assets.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sale of the Industrial business during 2021, the Company generated a capital loss of $113.7 million for federal and state purposes to the extent allowable under state tax regulations. Amended Federal returns were filed to carry back $3.7 million of capital loss. As of December 31, 2023, the remaining capital loss carry forward is $110.0 million. The capital loss carryforward will expire in 2026. The Company recognized a total of $26.5 million of deferred tax assets, net of the federal benefit, related to this carryforward prior to any valuation allowances, which included $22.2 million of federal and $4.3 million of state deferred tax assets. The Company has a full valuation allowance on the capital loss carry forward and as a result there is no deferred tax asset related to the capital loss.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Deferred taxes include net deferred tax assets relating to certain state and foreign tax jurisdictions. A reduction of the carrying amount of deferred tax assets by a valuation allowance is required if it is more likely than not that such assets will not be realized.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a reconciliation of the beginning and ending amount of the Company’s valuation allowance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Cost charged to the tax provision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Reclassification from discontinued operations upon sale of industrial group</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61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6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net payments for income taxes for the following amounts for the years ended December 31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made for income taxes,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22,076</w:t>
            </w: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2023, the Company had approximately $1.4 million of undistributed earnings of foreign subsidiaries. The Company continues to maintain its assertion that all remaining foreign earnings will be indefinitely reinvested. Any excess earnings could be used to grow the Company's foreign operations through launches of new capital projects or additional acquisitions. Determination of the amount of unrecognized deferred U.S. income tax liability related to the Company's remaining unremitted foreign earnings is not practicable due to the complexities associated with its hypothetical calculation.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did not have any unrecognized tax benefits or activity related to such benefits in any of the years presented in the consolidated financial statements. The Company classifies accrued interest and penalties related to unrecognized tax benefits in income tax expense. No interest or penalties have been recognized during the years presented.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and its U.S. subsidiaries file a U.S. federal consolidated income tax return. Foreign and U.S. state jurisdictions have statute of limitations generally ranging from four to ten years. The Company is currently in appeals for an audit of tax years 2016 through 2019 in Massachusetts and believes the technical merits of the position will be sustained.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for basic and diluted earnings were as follows for the years ended December 31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110,533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82,406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74,516</w:t>
            </w: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23"/>
        </w:trPr>
        <w:tc>
          <w:tcPr>
            <w:tcW w:w="6660" w:type="dxa"/>
            <w:vAlign w:val="bottom"/>
          </w:tcPr>
          <w:p>
            <w:pPr>
              <w:ind w:left="360"/>
              <w:spacing w:after="0"/>
              <w:rPr>
                <w:sz w:val="20"/>
                <w:szCs w:val="20"/>
                <w:color w:val="auto"/>
              </w:rPr>
            </w:pPr>
            <w:r>
              <w:rPr>
                <w:rFonts w:ascii="Arial" w:cs="Arial" w:eastAsia="Arial" w:hAnsi="Arial"/>
                <w:sz w:val="18"/>
                <w:szCs w:val="18"/>
                <w:color w:val="auto"/>
              </w:rPr>
              <w:t>Net income available to common shareholders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110,533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75,629</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 for basic earnings per share: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32,873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for diluted earnings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Common stock options and stock units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48"/>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shares and conversions</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provides the potential anti-dilutive common stock units not included in the diluted weighted average shares calculations for the years ended December 31 (in thousands):</w:t>
      </w:r>
    </w:p>
    <w:p>
      <w:pPr>
        <w:spacing w:after="0" w:line="31" w:lineRule="exact"/>
        <w:rPr>
          <w:sz w:val="20"/>
          <w:szCs w:val="20"/>
          <w:color w:val="auto"/>
        </w:rPr>
      </w:pPr>
    </w:p>
    <w:p>
      <w:pPr>
        <w:ind w:left="7220"/>
        <w:spacing w:after="0"/>
        <w:tabs>
          <w:tab w:leader="none" w:pos="8740" w:val="left"/>
          <w:tab w:leader="none" w:pos="102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20" w:lineRule="exact"/>
        <w:rPr>
          <w:sz w:val="20"/>
          <w:szCs w:val="20"/>
          <w:color w:val="auto"/>
        </w:rPr>
      </w:pPr>
    </w:p>
    <w:p>
      <w:pPr>
        <w:ind w:left="360"/>
        <w:spacing w:after="0"/>
        <w:tabs>
          <w:tab w:leader="none" w:pos="7840" w:val="left"/>
          <w:tab w:leader="none" w:pos="9380" w:val="left"/>
          <w:tab w:leader="none" w:pos="10940" w:val="left"/>
        </w:tabs>
        <w:rPr>
          <w:sz w:val="20"/>
          <w:szCs w:val="20"/>
          <w:color w:val="auto"/>
        </w:rPr>
      </w:pPr>
      <w:r>
        <w:rPr>
          <w:rFonts w:ascii="Arial" w:cs="Arial" w:eastAsia="Arial" w:hAnsi="Arial"/>
          <w:sz w:val="18"/>
          <w:szCs w:val="18"/>
          <w:color w:val="auto"/>
        </w:rPr>
        <w:t>Common stock units</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66675</wp:posOffset>
            </wp:positionV>
            <wp:extent cx="28632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leases are classified as operating leases and consist of manufacturing facilities, distribution centers, office space, vehicles and equipment.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Most of the Company's leases include one or more options to renew, with renewal terms that can extend the respective lease term from one month to ten years. The exercise of lease renewal options is at the Company's sole discretion. As of December 31, 2023 and 2022, the Company's renewal options are not part of the Company's operating lease assets and operating lease liabilities. Certain leases also include options to purchase at fair value the underlying leased asset at the Company's sole discretion.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gridSpan w:val="2"/>
          </w:tcPr>
          <w:p>
            <w:pPr>
              <w:spacing w:after="0"/>
              <w:rPr>
                <w:sz w:val="20"/>
                <w:szCs w:val="20"/>
                <w:color w:val="auto"/>
              </w:rPr>
            </w:pPr>
            <w:r>
              <w:rPr>
                <w:rFonts w:ascii="Arial" w:cs="Arial" w:eastAsia="Arial" w:hAnsi="Arial"/>
                <w:sz w:val="18"/>
                <w:szCs w:val="18"/>
                <w:color w:val="auto"/>
              </w:rPr>
              <w:t>The components of lease costs for the years ended December 31 were as follows (in 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6"/>
        </w:trPr>
        <w:tc>
          <w:tcPr>
            <w:tcW w:w="74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10,977</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7,153</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related to the Company's operating right-of-use assets and related operating lease liabilities for the years ended December 31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w w:val="94"/>
              </w:rPr>
              <w:t>2022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w:t>
            </w:r>
          </w:p>
        </w:tc>
      </w:tr>
      <w:tr>
        <w:trPr>
          <w:trHeight w:val="239"/>
        </w:trPr>
        <w:tc>
          <w:tcPr>
            <w:tcW w:w="74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27,468</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17,008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508"/>
        </w:trPr>
        <w:tc>
          <w:tcPr>
            <w:tcW w:w="8720" w:type="dxa"/>
            <w:vAlign w:val="bottom"/>
            <w:gridSpan w:val="4"/>
          </w:tcPr>
          <w:p>
            <w:pPr>
              <w:spacing w:after="0"/>
              <w:rPr>
                <w:sz w:val="20"/>
                <w:szCs w:val="20"/>
                <w:color w:val="auto"/>
              </w:rPr>
            </w:pPr>
            <w:r>
              <w:rPr>
                <w:rFonts w:ascii="Arial" w:cs="Arial" w:eastAsia="Arial" w:hAnsi="Arial"/>
                <w:sz w:val="18"/>
                <w:szCs w:val="18"/>
                <w:color w:val="auto"/>
              </w:rPr>
              <w:t>Information related to the Company's lease terms and discount rates as of December 31 were as follows: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6"/>
        </w:trPr>
        <w:tc>
          <w:tcPr>
            <w:tcW w:w="74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4"/>
              </w:rPr>
              <w:t>2022</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 years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5.3 years</w:t>
            </w:r>
          </w:p>
        </w:tc>
      </w:tr>
      <w:tr>
        <w:trPr>
          <w:trHeight w:val="239"/>
        </w:trPr>
        <w:tc>
          <w:tcPr>
            <w:tcW w:w="740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tcPr>
          <w:p>
            <w:pPr>
              <w:spacing w:after="0"/>
              <w:rPr>
                <w:sz w:val="20"/>
                <w:szCs w:val="20"/>
                <w:color w:val="auto"/>
              </w:rPr>
            </w:pPr>
          </w:p>
        </w:tc>
        <w:tc>
          <w:tcPr>
            <w:tcW w:w="1480" w:type="dxa"/>
            <w:vAlign w:val="bottom"/>
            <w:gridSpan w:val="3"/>
          </w:tcPr>
          <w:p>
            <w:pPr>
              <w:jc w:val="right"/>
              <w:ind w:right="190"/>
              <w:spacing w:after="0"/>
              <w:rPr>
                <w:sz w:val="20"/>
                <w:szCs w:val="20"/>
                <w:color w:val="auto"/>
              </w:rPr>
            </w:pPr>
            <w:r>
              <w:rPr>
                <w:rFonts w:ascii="Arial" w:cs="Arial" w:eastAsia="Arial" w:hAnsi="Arial"/>
                <w:sz w:val="18"/>
                <w:szCs w:val="18"/>
                <w:color w:val="auto"/>
              </w:rPr>
              <w:t>5.0 %</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rPr>
              <w:t>5.0 %</w:t>
            </w:r>
          </w:p>
        </w:tc>
      </w:tr>
      <w:tr>
        <w:trPr>
          <w:trHeight w:val="521"/>
        </w:trPr>
        <w:tc>
          <w:tcPr>
            <w:tcW w:w="9120" w:type="dxa"/>
            <w:vAlign w:val="bottom"/>
            <w:gridSpan w:val="5"/>
          </w:tcPr>
          <w:p>
            <w:pPr>
              <w:spacing w:after="0"/>
              <w:rPr>
                <w:sz w:val="20"/>
                <w:szCs w:val="20"/>
                <w:color w:val="auto"/>
              </w:rPr>
            </w:pPr>
            <w:r>
              <w:rPr>
                <w:rFonts w:ascii="Arial" w:cs="Arial" w:eastAsia="Arial" w:hAnsi="Arial"/>
                <w:sz w:val="18"/>
                <w:szCs w:val="18"/>
                <w:color w:val="auto"/>
              </w:rPr>
              <w:t>The future maturity of the Company's lease liabilities as of December 31, 2023 were as follows (in thousands):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7"/>
        </w:trPr>
        <w:tc>
          <w:tcPr>
            <w:tcW w:w="7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12,329</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9,748</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4,775</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2028</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17,191</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54,738</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uses its incremental borrowing rate based on information available at the commencement date of a lease in determining the present value of lease payments as the rates implicit in most of the Company's leases are not readily determinable.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a party to certain claims and legal actions generally incidental to its business. Management does not believe that the outcome of any claims, or other claims which are not clearly determinable at the present time, would result in a material adverse effect on the Company's financial condition or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organized into four reportable segments on the basis of the production processes, products and services provided by each segment, identified as follows:</w:t>
      </w:r>
    </w:p>
    <w:p>
      <w:pPr>
        <w:spacing w:after="0" w:line="45" w:lineRule="exact"/>
        <w:rPr>
          <w:sz w:val="20"/>
          <w:szCs w:val="20"/>
          <w:color w:val="auto"/>
        </w:rPr>
      </w:pPr>
    </w:p>
    <w:p>
      <w:pPr>
        <w:ind w:left="580" w:right="20" w:hanging="329"/>
        <w:spacing w:after="0" w:line="281" w:lineRule="auto"/>
        <w:tabs>
          <w:tab w:leader="none" w:pos="5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Renewables, which primarily includes designing, engineering, manufacturing and installation of solar racking and electrical balance of systems;</w:t>
      </w:r>
    </w:p>
    <w:p>
      <w:pPr>
        <w:spacing w:after="0" w:line="1" w:lineRule="exact"/>
        <w:rPr>
          <w:rFonts w:ascii="Arial" w:cs="Arial" w:eastAsia="Arial" w:hAnsi="Arial"/>
          <w:sz w:val="18"/>
          <w:szCs w:val="18"/>
          <w:color w:val="auto"/>
        </w:rPr>
      </w:pPr>
    </w:p>
    <w:p>
      <w:pPr>
        <w:jc w:val="both"/>
        <w:ind w:left="580" w:hanging="329"/>
        <w:spacing w:after="0" w:line="268" w:lineRule="auto"/>
        <w:tabs>
          <w:tab w:leader="none" w:pos="5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Residential, which primarily includes designing, engineering and manufacturing of roof and foundation ventilation products, centralized mail systems and electronic package solutions, retractable awnings and gutter guards, and rain dispersion products, trims and flashings and other accessories;</w:t>
      </w:r>
    </w:p>
    <w:p>
      <w:pPr>
        <w:spacing w:after="0" w:line="8" w:lineRule="exact"/>
        <w:rPr>
          <w:rFonts w:ascii="Arial" w:cs="Arial" w:eastAsia="Arial" w:hAnsi="Arial"/>
          <w:sz w:val="18"/>
          <w:szCs w:val="18"/>
          <w:color w:val="auto"/>
        </w:rPr>
      </w:pP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Agtech, which provides growing solutions including the designing, engineering, manufacturing and installation of greenhouses; and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0" w:right="20" w:hanging="329"/>
        <w:spacing w:after="0" w:line="287" w:lineRule="auto"/>
        <w:tabs>
          <w:tab w:leader="none" w:pos="57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Infrastructure, which primarily includes designing, engineering and manufacturing of structural bearings, expansion joints and pavement sealant for bridges, airport runways and roadways, elastomeric concrete, and bridge cable protection systems.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When determining the reportable segments, the Company aggregated operating segments based on their similar economic and operating characteristics.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tables illustrate certain measurements used by management to assess the performance of the segments described above as of and for the years ended December 31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0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Renewables</w:t>
            </w:r>
          </w:p>
        </w:tc>
        <w:tc>
          <w:tcPr>
            <w:tcW w:w="26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330,738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377,567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432,096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Agtech</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144,967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Infrastructure</w:t>
            </w:r>
          </w:p>
        </w:tc>
        <w:tc>
          <w:tcPr>
            <w:tcW w:w="2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 consolidated net sales</w:t>
            </w:r>
          </w:p>
        </w:tc>
        <w:tc>
          <w:tcPr>
            <w:tcW w:w="23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1,377,736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1,389,966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Renewables</w:t>
            </w:r>
          </w:p>
        </w:tc>
        <w:tc>
          <w:tcPr>
            <w:tcW w:w="2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Residential</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126,458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Agtech</w:t>
            </w:r>
          </w:p>
        </w:tc>
        <w:tc>
          <w:tcPr>
            <w:tcW w:w="2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Infrastructure</w:t>
            </w:r>
          </w:p>
        </w:tc>
        <w:tc>
          <w:tcPr>
            <w:tcW w:w="2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Segments income from operations</w:t>
            </w:r>
          </w:p>
        </w:tc>
        <w:tc>
          <w:tcPr>
            <w:tcW w:w="2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Unallocated corporate expenses</w:t>
            </w:r>
          </w:p>
        </w:tc>
        <w:tc>
          <w:tcPr>
            <w:tcW w:w="2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from operations</w:t>
            </w:r>
          </w:p>
        </w:tc>
        <w:tc>
          <w:tcPr>
            <w:tcW w:w="2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Renewables</w:t>
            </w:r>
          </w:p>
        </w:tc>
        <w:tc>
          <w:tcPr>
            <w:tcW w:w="26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8,671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Agtech</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Infrastructure</w:t>
            </w:r>
          </w:p>
        </w:tc>
        <w:tc>
          <w:tcPr>
            <w:tcW w:w="2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Unallocated corporate expenses</w:t>
            </w:r>
          </w:p>
        </w:tc>
        <w:tc>
          <w:tcPr>
            <w:tcW w:w="2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3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0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938"/>
        </w:trPr>
        <w:tc>
          <w:tcPr>
            <w:tcW w:w="1400" w:type="dxa"/>
            <w:vAlign w:val="bottom"/>
            <w:tcBorders>
              <w:top w:val="single" w:sz="8" w:color="0000FF"/>
              <w:bottom w:val="single" w:sz="8" w:color="CCEEFF"/>
            </w:tcBorders>
          </w:tcPr>
          <w:p>
            <w:pPr>
              <w:spacing w:after="0"/>
              <w:rPr>
                <w:sz w:val="24"/>
                <w:szCs w:val="24"/>
                <w:color w:val="auto"/>
              </w:rPr>
            </w:pPr>
          </w:p>
        </w:tc>
        <w:tc>
          <w:tcPr>
            <w:tcW w:w="52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60" w:type="dxa"/>
            <w:vAlign w:val="bottom"/>
            <w:gridSpan w:val="2"/>
          </w:tcPr>
          <w:p>
            <w:pPr>
              <w:ind w:left="140"/>
              <w:spacing w:after="0"/>
              <w:rPr>
                <w:sz w:val="20"/>
                <w:szCs w:val="20"/>
                <w:color w:val="auto"/>
              </w:rPr>
            </w:pPr>
            <w:r>
              <w:rPr>
                <w:rFonts w:ascii="Arial" w:cs="Arial" w:eastAsia="Arial" w:hAnsi="Arial"/>
                <w:sz w:val="18"/>
                <w:szCs w:val="18"/>
                <w:color w:val="auto"/>
              </w:rPr>
              <w:t>Renewables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377,694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392,368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445,486</w:t>
            </w:r>
          </w:p>
        </w:tc>
      </w:tr>
      <w:tr>
        <w:trPr>
          <w:trHeight w:val="23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453,469</w:t>
            </w:r>
          </w:p>
        </w:tc>
      </w:tr>
      <w:tr>
        <w:trPr>
          <w:trHeight w:val="229"/>
        </w:trPr>
        <w:tc>
          <w:tcPr>
            <w:tcW w:w="6660" w:type="dxa"/>
            <w:vAlign w:val="bottom"/>
            <w:gridSpan w:val="2"/>
          </w:tcPr>
          <w:p>
            <w:pPr>
              <w:ind w:left="140"/>
              <w:spacing w:after="0"/>
              <w:rPr>
                <w:sz w:val="20"/>
                <w:szCs w:val="20"/>
                <w:color w:val="auto"/>
              </w:rPr>
            </w:pPr>
            <w:r>
              <w:rPr>
                <w:rFonts w:ascii="Arial" w:cs="Arial" w:eastAsia="Arial" w:hAnsi="Arial"/>
                <w:sz w:val="18"/>
                <w:szCs w:val="18"/>
                <w:color w:val="auto"/>
              </w:rPr>
              <w:t>Agtech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168,213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193,966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212,038</w:t>
            </w:r>
          </w:p>
        </w:tc>
      </w:tr>
      <w:tr>
        <w:trPr>
          <w:trHeight w:val="23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Infrastructure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82,662</w:t>
            </w:r>
          </w:p>
        </w:tc>
      </w:tr>
      <w:tr>
        <w:trPr>
          <w:trHeight w:val="229"/>
        </w:trPr>
        <w:tc>
          <w:tcPr>
            <w:tcW w:w="6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Unallocated corporate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21,246</w:t>
            </w:r>
          </w:p>
        </w:tc>
      </w:tr>
      <w:tr>
        <w:trPr>
          <w:trHeight w:val="248"/>
        </w:trPr>
        <w:tc>
          <w:tcPr>
            <w:tcW w:w="140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1,256,451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1,214,901</w:t>
            </w:r>
          </w:p>
        </w:tc>
      </w:tr>
      <w:tr>
        <w:trPr>
          <w:trHeight w:val="20"/>
        </w:trPr>
        <w:tc>
          <w:tcPr>
            <w:tcW w:w="66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60" w:type="dxa"/>
            <w:vAlign w:val="bottom"/>
            <w:gridSpan w:val="2"/>
          </w:tcPr>
          <w:p>
            <w:pPr>
              <w:ind w:left="140"/>
              <w:spacing w:after="0"/>
              <w:rPr>
                <w:sz w:val="20"/>
                <w:szCs w:val="20"/>
                <w:color w:val="auto"/>
              </w:rPr>
            </w:pPr>
            <w:r>
              <w:rPr>
                <w:rFonts w:ascii="Arial" w:cs="Arial" w:eastAsia="Arial" w:hAnsi="Arial"/>
                <w:sz w:val="18"/>
                <w:szCs w:val="18"/>
                <w:color w:val="auto"/>
              </w:rPr>
              <w:t>Renewables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4,268</w:t>
            </w:r>
          </w:p>
        </w:tc>
      </w:tr>
      <w:tr>
        <w:trPr>
          <w:trHeight w:val="229"/>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r>
      <w:tr>
        <w:trPr>
          <w:trHeight w:val="229"/>
        </w:trPr>
        <w:tc>
          <w:tcPr>
            <w:tcW w:w="6660" w:type="dxa"/>
            <w:vAlign w:val="bottom"/>
            <w:gridSpan w:val="2"/>
          </w:tcPr>
          <w:p>
            <w:pPr>
              <w:ind w:left="140"/>
              <w:spacing w:after="0"/>
              <w:rPr>
                <w:sz w:val="20"/>
                <w:szCs w:val="20"/>
                <w:color w:val="auto"/>
              </w:rPr>
            </w:pPr>
            <w:r>
              <w:rPr>
                <w:rFonts w:ascii="Arial" w:cs="Arial" w:eastAsia="Arial" w:hAnsi="Arial"/>
                <w:sz w:val="18"/>
                <w:szCs w:val="18"/>
                <w:color w:val="auto"/>
              </w:rPr>
              <w:t>Agtech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3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Infrastructure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r>
      <w:tr>
        <w:trPr>
          <w:trHeight w:val="229"/>
        </w:trPr>
        <w:tc>
          <w:tcPr>
            <w:tcW w:w="6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Unallocated corporate expenditures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r>
      <w:tr>
        <w:trPr>
          <w:trHeight w:val="248"/>
        </w:trPr>
        <w:tc>
          <w:tcPr>
            <w:tcW w:w="140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17,705</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illustrate revenue disaggregated by timing of transfer of control to the customer for the years ended December 31 (in thousands):</w:t>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2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Renewables</w:t>
            </w:r>
          </w:p>
        </w:tc>
        <w:tc>
          <w:tcPr>
            <w:tcW w:w="26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Residential</w:t>
            </w: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Agtech</w:t>
            </w:r>
          </w:p>
        </w:tc>
        <w:tc>
          <w:tcPr>
            <w:tcW w:w="20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Infrastructure</w:t>
            </w:r>
          </w:p>
        </w:tc>
        <w:tc>
          <w:tcPr>
            <w:tcW w:w="400" w:type="dxa"/>
            <w:vAlign w:val="bottom"/>
          </w:tcPr>
          <w:p>
            <w:pPr>
              <w:spacing w:after="0"/>
              <w:rPr>
                <w:sz w:val="19"/>
                <w:szCs w:val="19"/>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09"/>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2240" w:type="dxa"/>
            <w:vAlign w:val="bottom"/>
          </w:tcPr>
          <w:p>
            <w:pPr>
              <w:ind w:left="340"/>
              <w:spacing w:after="0"/>
              <w:rPr>
                <w:sz w:val="20"/>
                <w:szCs w:val="20"/>
                <w:color w:val="auto"/>
              </w:rPr>
            </w:pPr>
            <w:r>
              <w:rPr>
                <w:rFonts w:ascii="Arial" w:cs="Arial" w:eastAsia="Arial" w:hAnsi="Arial"/>
                <w:sz w:val="18"/>
                <w:szCs w:val="18"/>
                <w:color w:val="auto"/>
              </w:rPr>
              <w:t>Point in Time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49,123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808,225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31,547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893,815</w:t>
            </w:r>
          </w:p>
        </w:tc>
      </w:tr>
      <w:tr>
        <w:trPr>
          <w:trHeight w:val="229"/>
        </w:trPr>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Over Time</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483,921</w:t>
            </w: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144,967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1,377,736</w:t>
            </w:r>
          </w:p>
        </w:tc>
      </w:tr>
      <w:tr>
        <w:trPr>
          <w:trHeight w:val="20"/>
        </w:trPr>
        <w:tc>
          <w:tcPr>
            <w:tcW w:w="2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2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Renewables</w:t>
            </w:r>
          </w:p>
        </w:tc>
        <w:tc>
          <w:tcPr>
            <w:tcW w:w="26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Residential</w:t>
            </w: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Agtech</w:t>
            </w:r>
          </w:p>
        </w:tc>
        <w:tc>
          <w:tcPr>
            <w:tcW w:w="20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Infrastructure</w:t>
            </w:r>
          </w:p>
        </w:tc>
        <w:tc>
          <w:tcPr>
            <w:tcW w:w="400" w:type="dxa"/>
            <w:vAlign w:val="bottom"/>
          </w:tcPr>
          <w:p>
            <w:pPr>
              <w:spacing w:after="0"/>
              <w:rPr>
                <w:sz w:val="19"/>
                <w:szCs w:val="19"/>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09"/>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2240" w:type="dxa"/>
            <w:vAlign w:val="bottom"/>
          </w:tcPr>
          <w:p>
            <w:pPr>
              <w:ind w:left="340"/>
              <w:spacing w:after="0"/>
              <w:rPr>
                <w:sz w:val="20"/>
                <w:szCs w:val="20"/>
                <w:color w:val="auto"/>
              </w:rPr>
            </w:pPr>
            <w:r>
              <w:rPr>
                <w:rFonts w:ascii="Arial" w:cs="Arial" w:eastAsia="Arial" w:hAnsi="Arial"/>
                <w:sz w:val="18"/>
                <w:szCs w:val="18"/>
                <w:color w:val="auto"/>
              </w:rPr>
              <w:t>Point in Time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27,317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761,576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13,011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32,983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834,887</w:t>
            </w:r>
          </w:p>
        </w:tc>
      </w:tr>
      <w:tr>
        <w:trPr>
          <w:trHeight w:val="230"/>
        </w:trPr>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Over Time</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555,079</w:t>
            </w: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168,868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1,389,966</w:t>
            </w:r>
          </w:p>
        </w:tc>
      </w:tr>
      <w:tr>
        <w:trPr>
          <w:trHeight w:val="20"/>
        </w:trPr>
        <w:tc>
          <w:tcPr>
            <w:tcW w:w="2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2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Renewables</w:t>
            </w:r>
          </w:p>
        </w:tc>
        <w:tc>
          <w:tcPr>
            <w:tcW w:w="26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Residential</w:t>
            </w: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Agtech</w:t>
            </w:r>
          </w:p>
        </w:tc>
        <w:tc>
          <w:tcPr>
            <w:tcW w:w="20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Infrastructure</w:t>
            </w:r>
          </w:p>
        </w:tc>
        <w:tc>
          <w:tcPr>
            <w:tcW w:w="400" w:type="dxa"/>
            <w:vAlign w:val="bottom"/>
          </w:tcPr>
          <w:p>
            <w:pPr>
              <w:spacing w:after="0"/>
              <w:rPr>
                <w:sz w:val="19"/>
                <w:szCs w:val="19"/>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1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2240" w:type="dxa"/>
            <w:vAlign w:val="bottom"/>
          </w:tcPr>
          <w:p>
            <w:pPr>
              <w:ind w:left="340"/>
              <w:spacing w:after="0"/>
              <w:rPr>
                <w:sz w:val="20"/>
                <w:szCs w:val="20"/>
                <w:color w:val="auto"/>
              </w:rPr>
            </w:pPr>
            <w:r>
              <w:rPr>
                <w:rFonts w:ascii="Arial" w:cs="Arial" w:eastAsia="Arial" w:hAnsi="Arial"/>
                <w:sz w:val="18"/>
                <w:szCs w:val="18"/>
                <w:color w:val="auto"/>
              </w:rPr>
              <w:t>Point in Time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630,494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20,157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32,512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711,793</w:t>
            </w:r>
          </w:p>
        </w:tc>
      </w:tr>
      <w:tr>
        <w:trPr>
          <w:trHeight w:val="229"/>
        </w:trPr>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Over Time</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627,990</w:t>
            </w: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635,505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1,339,783</w:t>
            </w:r>
          </w:p>
        </w:tc>
      </w:tr>
      <w:tr>
        <w:trPr>
          <w:trHeight w:val="20"/>
        </w:trPr>
        <w:tc>
          <w:tcPr>
            <w:tcW w:w="2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Net sales by region or origin and long-lived assets by region of domicile for the years ended and as of December 31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1,366,012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1,373,907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1,318,795</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20,988</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1,377,736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1,389,966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1,339,783</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Long-lived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97,003</w:t>
            </w: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97,368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system of disclosure controls and procedures (as defined in Rule 13a-15(e) and 15d-15(e) under the Securities Exchange Act of 1934). Management of the Company, under the supervision and with the participation of the Chief Executive Officer and the Chief Financial Officer, evaluated the effectiveness of the Company’s disclosure controls and procedures as of the end of the period covered in this report. Based upon that evaluation and the definition of disclosure controls and procedures contained in Rule 13a-15(e) and 15d-15(e) under the Securities Exchange Act of 1934, the Company’s Chief Executive Officer and Chief Financial Officer have concluded that as of the end of such period the Company’s disclosure controls and procedures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management of Gibraltar Industries, Inc. is responsible for establishing and maintaining adequate internal control over financial reporting for the Company, as such term is defined in Rule 13a-15(f) under the Securities Exchange Act of 1934. Under the supervision and with the participation of management, including the Company’s Chief Executive Officer and Chief Financial Officer, the Company conducted an evaluation of the effectiveness of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w:t>
      </w:r>
      <w:r>
        <w:rPr>
          <w:rFonts w:ascii="Arial" w:cs="Arial" w:eastAsia="Arial" w:hAnsi="Arial"/>
          <w:sz w:val="18"/>
          <w:szCs w:val="18"/>
          <w:i w:val="1"/>
          <w:iCs w:val="1"/>
          <w:color w:val="auto"/>
        </w:rPr>
        <w:t>(2013 framework</w:t>
      </w:r>
      <w:r>
        <w:rPr>
          <w:rFonts w:ascii="Arial" w:cs="Arial" w:eastAsia="Arial" w:hAnsi="Arial"/>
          <w:sz w:val="18"/>
          <w:szCs w:val="18"/>
          <w:b w:val="1"/>
          <w:bCs w:val="1"/>
          <w:i w:val="1"/>
          <w:iCs w:val="1"/>
          <w:color w:val="auto"/>
        </w:rPr>
        <w:t>)</w:t>
      </w:r>
      <w:r>
        <w:rPr>
          <w:rFonts w:ascii="Arial" w:cs="Arial" w:eastAsia="Arial" w:hAnsi="Arial"/>
          <w:sz w:val="18"/>
          <w:szCs w:val="18"/>
          <w:color w:val="auto"/>
        </w:rPr>
        <w:t>. Based on the Company’s evaluation, management concluded that the Company’s internal control over financial reporting was effective as of December 31, 2023.</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acquisition of a privately held Utah-based company was excluded from management's annual report on internal control over financial reporting as of December 31, 2023. The Company acquired this privately held Utah-based company on July 5, 2023, for which its results are included in the Company's 2023 consolidated financial statements and were $11.7 million of total assets and $11.0 million of net assets, respectively, as of December 31, 2023, and $4.4 million and $0.9 million of net sales and net income, respectively, for the year then ended.</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2023 has been audited by Ernst &amp; Young LLP, an independent registered public accounting firm, as stated in their report which is included below in this Item 9A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implemented a new Enterprise Resource Planning (“ERP”) system for one of the Company's operating units in the Renewables segment during the quarter ended December 31, 2023. The implementation of this ERP system is expected to, among other things, improve user access security and automate a number of accounting and reporting processes and activities, thereby decreasing the amount of manual processes previously required. Except for the implementation of this ERP system, there have been no changes in the Company’s internal control over financial reporting (as defined by Rule 13a-15(f)) that occurred during the three months ended December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Gibraltar Industries,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audited Gibraltar Industries, Inc.’s internal control over financial reporting as of December 31, 2023, based on criteria established in Internal Control–Integrated Framework issued by the Committee of Sponsoring Organizations of the Treadway Commission (2013 framework) (the COSO criteria). In our opinion, Gibraltar Industries, Inc. (the Company) maintained, in all material respects, effective internal control over financial reporting as of December 31, 2023, based on the COSO criteria.</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the privately held Utah-based company acquired in July 2023, which is included in the 2023 consolidated financial statements of the Company and constituted 0.9% and 1.2% of total and net assets, respectively, as of December 31, 2023 and 0.3% and 0.8% of net sales and net income, respectively, for the year then ended. Our audit of internal control over financial reporting of the Company also did not include an evaluation of the internal control over financial reporting of the Utah-based company.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2023 consolidated financial statements of the Company and our report dated February 21, 2024 expressed an unqualified opinion thereon.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9C.</w:t>
      </w:r>
      <w:r>
        <w:rPr>
          <w:sz w:val="20"/>
          <w:szCs w:val="20"/>
          <w:color w:val="auto"/>
        </w:rPr>
        <w:tab/>
      </w:r>
      <w:r>
        <w:rPr>
          <w:rFonts w:ascii="Arial" w:cs="Arial" w:eastAsia="Arial" w:hAnsi="Arial"/>
          <w:sz w:val="17"/>
          <w:szCs w:val="17"/>
          <w:b w:val="1"/>
          <w:bCs w:val="1"/>
          <w:i w:val="1"/>
          <w:iCs w:val="1"/>
          <w:u w:val="single" w:color="auto"/>
          <w:color w:val="auto"/>
        </w:rPr>
        <w:t>Disclosure Regarding Foreign Jurisdictions that Prevent Inspections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9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regarding directors and executive officers of the Company, as well as the required disclosures with respect to the Company’s audit committee financial expert, is incorporated herein by reference to the information included in the Company’s 2024 Proxy Statement which will be filed with the Commission within 120 days after the end of the Company’s 2023 fiscal year.</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adopted a Code of Ethics that applies to all of the Company's directors, officers, employees and representatives, including the Company's Chief Executive Officer and Chief Financial Officer. The complete text of this Code of Ethics is available in the corporate governance section of the Company's website at www.gibraltar1.com. The Company does not intend to incorporate the contents of its website into this Annual Report on Form 10-K.</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intends to disclose future amendments to certain provisions of the Company's Code of Ethics, or waivers of such provisions, applicable to the Company's Chief Executive Officer and Chief Financial Officer on the Company's website identified above.</w:t>
      </w:r>
    </w:p>
    <w:p>
      <w:pPr>
        <w:spacing w:after="0" w:line="22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regarding executive compensation is incorporated herein by reference to the information included in the Company’s 2024 Proxy Statement which will be filed with the Commission within 120 days after the end of the Company’s 2023 fiscal year.</w:t>
      </w:r>
    </w:p>
    <w:p>
      <w:pPr>
        <w:spacing w:after="0" w:line="22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regarding security ownership of certain beneficial owners and management and the Company's equity compensation plans are incorporated herein by reference to the information included in the Company’s 2024 Proxy Statement which will be filed with the Commission within 120 days after the end of the Company’s 2023 fiscal year.</w:t>
      </w:r>
    </w:p>
    <w:p>
      <w:pPr>
        <w:spacing w:after="0" w:line="23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regarding certain relationships and related transactions and director independence is incorporated herein by reference to the information included in the Company’s 2024 Proxy Statement which will be filed with the Commission within 120 days after the end of the Company’s 2023 fiscal year.</w:t>
      </w:r>
    </w:p>
    <w:p>
      <w:pPr>
        <w:spacing w:after="0" w:line="23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Accountant Fees and Services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regarding principal accounting fees and services is incorporated herein by reference to the information included in the Company’s 2024 Proxy Statement which will be filed with the Commission within 120 days after the end of the Company’s 2023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u w:val="single" w:color="auto"/>
          <w:color w:val="auto"/>
        </w:rPr>
        <w:t>PART IV</w:t>
      </w:r>
    </w:p>
    <w:p>
      <w:pPr>
        <w:spacing w:after="0" w:line="29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and Financial Statement Schedules</w:t>
      </w:r>
    </w:p>
    <w:p>
      <w:pPr>
        <w:spacing w:after="0" w:line="144" w:lineRule="exact"/>
        <w:rPr>
          <w:sz w:val="20"/>
          <w:szCs w:val="20"/>
          <w:color w:val="auto"/>
        </w:rPr>
      </w:pPr>
    </w:p>
    <w:p>
      <w:pPr>
        <w:ind w:left="580" w:hanging="419"/>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76" w:lineRule="exact"/>
        <w:rPr>
          <w:rFonts w:ascii="Arial" w:cs="Arial" w:eastAsia="Arial" w:hAnsi="Arial"/>
          <w:sz w:val="18"/>
          <w:szCs w:val="18"/>
          <w:color w:val="auto"/>
        </w:rPr>
      </w:pPr>
    </w:p>
    <w:p>
      <w:pPr>
        <w:ind w:left="1000" w:hanging="421"/>
        <w:spacing w:after="0"/>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76" w:lineRule="exact"/>
        <w:rPr>
          <w:rFonts w:ascii="Arial" w:cs="Arial" w:eastAsia="Arial" w:hAnsi="Arial"/>
          <w:sz w:val="18"/>
          <w:szCs w:val="18"/>
          <w:color w:val="auto"/>
        </w:rPr>
      </w:pPr>
    </w:p>
    <w:p>
      <w:pPr>
        <w:ind w:left="1720" w:hanging="520"/>
        <w:spacing w:after="0"/>
        <w:tabs>
          <w:tab w:leader="none" w:pos="17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76" w:lineRule="exact"/>
        <w:rPr>
          <w:rFonts w:ascii="Arial" w:cs="Arial" w:eastAsia="Arial" w:hAnsi="Arial"/>
          <w:sz w:val="18"/>
          <w:szCs w:val="18"/>
          <w:color w:val="auto"/>
        </w:rPr>
      </w:pPr>
    </w:p>
    <w:p>
      <w:pPr>
        <w:ind w:left="1720" w:hanging="520"/>
        <w:spacing w:after="0"/>
        <w:tabs>
          <w:tab w:leader="none" w:pos="17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2023, 2022, and 2021</w:t>
      </w:r>
    </w:p>
    <w:p>
      <w:pPr>
        <w:spacing w:after="0" w:line="76" w:lineRule="exact"/>
        <w:rPr>
          <w:rFonts w:ascii="Arial" w:cs="Arial" w:eastAsia="Arial" w:hAnsi="Arial"/>
          <w:sz w:val="18"/>
          <w:szCs w:val="18"/>
          <w:color w:val="auto"/>
        </w:rPr>
      </w:pPr>
    </w:p>
    <w:p>
      <w:pPr>
        <w:ind w:left="1720" w:hanging="520"/>
        <w:spacing w:after="0"/>
        <w:tabs>
          <w:tab w:leader="none" w:pos="17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2023, 2022, and 2021</w:t>
      </w:r>
    </w:p>
    <w:p>
      <w:pPr>
        <w:spacing w:after="0" w:line="76" w:lineRule="exact"/>
        <w:rPr>
          <w:rFonts w:ascii="Arial" w:cs="Arial" w:eastAsia="Arial" w:hAnsi="Arial"/>
          <w:sz w:val="18"/>
          <w:szCs w:val="18"/>
          <w:color w:val="auto"/>
        </w:rPr>
      </w:pPr>
    </w:p>
    <w:p>
      <w:pPr>
        <w:ind w:left="1720" w:hanging="520"/>
        <w:spacing w:after="0"/>
        <w:tabs>
          <w:tab w:leader="none" w:pos="17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Consolidated Balance Sheets as of December 31, 2023 and 2022</w:t>
      </w:r>
    </w:p>
    <w:p>
      <w:pPr>
        <w:spacing w:after="0" w:line="76" w:lineRule="exact"/>
        <w:rPr>
          <w:rFonts w:ascii="Arial" w:cs="Arial" w:eastAsia="Arial" w:hAnsi="Arial"/>
          <w:sz w:val="18"/>
          <w:szCs w:val="18"/>
          <w:color w:val="auto"/>
        </w:rPr>
      </w:pPr>
    </w:p>
    <w:p>
      <w:pPr>
        <w:ind w:left="1720" w:hanging="520"/>
        <w:spacing w:after="0"/>
        <w:tabs>
          <w:tab w:leader="none" w:pos="17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2023, 2022, and 2021</w:t>
      </w:r>
    </w:p>
    <w:p>
      <w:pPr>
        <w:spacing w:after="0" w:line="76" w:lineRule="exact"/>
        <w:rPr>
          <w:rFonts w:ascii="Arial" w:cs="Arial" w:eastAsia="Arial" w:hAnsi="Arial"/>
          <w:sz w:val="18"/>
          <w:szCs w:val="18"/>
          <w:color w:val="auto"/>
        </w:rPr>
      </w:pPr>
    </w:p>
    <w:p>
      <w:pPr>
        <w:ind w:left="1720" w:right="120" w:hanging="520"/>
        <w:spacing w:after="0"/>
        <w:tabs>
          <w:tab w:leader="none" w:pos="17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Consolidated Statements of Stockholders’ Equity and Comprehensive Income for the Years Ended December 31, 2023, 2022, and 2021</w:t>
      </w:r>
    </w:p>
    <w:p>
      <w:pPr>
        <w:spacing w:after="0" w:line="58" w:lineRule="exact"/>
        <w:rPr>
          <w:rFonts w:ascii="Arial" w:cs="Arial" w:eastAsia="Arial" w:hAnsi="Arial"/>
          <w:sz w:val="18"/>
          <w:szCs w:val="18"/>
          <w:color w:val="auto"/>
        </w:rPr>
      </w:pPr>
    </w:p>
    <w:p>
      <w:pPr>
        <w:ind w:left="1720" w:hanging="520"/>
        <w:spacing w:after="0"/>
        <w:tabs>
          <w:tab w:leader="none" w:pos="17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76" w:lineRule="exact"/>
        <w:rPr>
          <w:rFonts w:ascii="Arial" w:cs="Arial" w:eastAsia="Arial" w:hAnsi="Arial"/>
          <w:sz w:val="18"/>
          <w:szCs w:val="18"/>
          <w:color w:val="auto"/>
        </w:rPr>
      </w:pPr>
    </w:p>
    <w:p>
      <w:pPr>
        <w:ind w:left="1000" w:hanging="421"/>
        <w:spacing w:after="0"/>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76"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All schedules are omitted because they are not required, or because the required information is provided in the consolidated financial statements, including the notes thereto.</w:t>
      </w:r>
    </w:p>
    <w:p>
      <w:pPr>
        <w:spacing w:after="0" w:line="58" w:lineRule="exact"/>
        <w:rPr>
          <w:rFonts w:ascii="Arial" w:cs="Arial" w:eastAsia="Arial" w:hAnsi="Arial"/>
          <w:sz w:val="18"/>
          <w:szCs w:val="18"/>
          <w:color w:val="auto"/>
        </w:rPr>
      </w:pPr>
    </w:p>
    <w:p>
      <w:pPr>
        <w:ind w:left="1000" w:right="40" w:hanging="421"/>
        <w:spacing w:after="0" w:line="227"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Exhibits Required by Item 601 of Regulation S-K: The list of exhibits to this Annual Report on Form 10-K is set forth on the attached </w:t>
      </w:r>
      <w:r>
        <w:rPr>
          <w:rFonts w:ascii="Arial" w:cs="Arial" w:eastAsia="Arial" w:hAnsi="Arial"/>
          <w:sz w:val="18"/>
          <w:szCs w:val="18"/>
          <w:u w:val="single" w:color="auto"/>
          <w:color w:val="0000FF"/>
        </w:rPr>
        <w:t>Exhibit Index</w:t>
      </w:r>
      <w:r>
        <w:rPr>
          <w:rFonts w:ascii="Arial" w:cs="Arial" w:eastAsia="Arial" w:hAnsi="Arial"/>
          <w:sz w:val="18"/>
          <w:szCs w:val="18"/>
          <w:color w:val="auto"/>
        </w:rPr>
        <w:t>. Each management contract or compensatory plan or arrangement is identified as such in the Exhibit Index.</w:t>
      </w:r>
    </w:p>
    <w:p>
      <w:pPr>
        <w:spacing w:after="0" w:line="60" w:lineRule="exact"/>
        <w:rPr>
          <w:rFonts w:ascii="Arial" w:cs="Arial" w:eastAsia="Arial" w:hAnsi="Arial"/>
          <w:sz w:val="18"/>
          <w:szCs w:val="18"/>
          <w:color w:val="auto"/>
        </w:rPr>
      </w:pPr>
    </w:p>
    <w:p>
      <w:pPr>
        <w:ind w:left="580" w:hanging="419"/>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1000" w:right="340"/>
        <w:spacing w:after="0"/>
        <w:rPr>
          <w:sz w:val="20"/>
          <w:szCs w:val="20"/>
          <w:color w:val="auto"/>
        </w:rPr>
      </w:pPr>
      <w:r>
        <w:rPr>
          <w:rFonts w:ascii="Arial" w:cs="Arial" w:eastAsia="Arial" w:hAnsi="Arial"/>
          <w:sz w:val="18"/>
          <w:szCs w:val="18"/>
          <w:color w:val="auto"/>
        </w:rPr>
        <w:t>The documents listed in the Exhibit Index are filed or furnished with this Annual Report on Form 10-K or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2" w:right="7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r>
      <w:tr>
        <w:trPr>
          <w:trHeight w:val="209"/>
        </w:trPr>
        <w:tc>
          <w:tcPr>
            <w:tcW w:w="280" w:type="dxa"/>
            <w:vAlign w:val="bottom"/>
          </w:tcPr>
          <w:p>
            <w:pPr>
              <w:spacing w:after="0"/>
              <w:rPr>
                <w:sz w:val="20"/>
                <w:szCs w:val="20"/>
                <w:color w:val="auto"/>
              </w:rPr>
            </w:pPr>
            <w:r>
              <w:rPr>
                <w:rFonts w:ascii="Arial" w:cs="Arial" w:eastAsia="Arial" w:hAnsi="Arial"/>
                <w:sz w:val="18"/>
                <w:szCs w:val="18"/>
                <w:color w:val="auto"/>
                <w:w w:val="85"/>
              </w:rPr>
              <w:t>No.</w:t>
            </w:r>
          </w:p>
        </w:tc>
        <w:tc>
          <w:tcPr>
            <w:tcW w:w="5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120" w:type="dxa"/>
            <w:vAlign w:val="bottom"/>
            <w:tcBorders>
              <w:top w:val="single" w:sz="8" w:color="auto"/>
            </w:tcBorders>
          </w:tcPr>
          <w:p>
            <w:pPr>
              <w:spacing w:after="0"/>
              <w:rPr>
                <w:sz w:val="18"/>
                <w:szCs w:val="18"/>
                <w:color w:val="auto"/>
              </w:rPr>
            </w:pPr>
          </w:p>
        </w:tc>
        <w:tc>
          <w:tcPr>
            <w:tcW w:w="5020" w:type="dxa"/>
            <w:vAlign w:val="bottom"/>
            <w:gridSpan w:val="2"/>
          </w:tcPr>
          <w:p>
            <w:pPr>
              <w:spacing w:after="0"/>
              <w:rPr>
                <w:sz w:val="18"/>
                <w:szCs w:val="18"/>
                <w:color w:val="auto"/>
              </w:rPr>
            </w:pPr>
          </w:p>
        </w:tc>
      </w:tr>
      <w:tr>
        <w:trPr>
          <w:trHeight w:val="20"/>
        </w:trPr>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3"/>
        </w:trPr>
        <w:tc>
          <w:tcPr>
            <w:tcW w:w="280" w:type="dxa"/>
            <w:vAlign w:val="bottom"/>
          </w:tcPr>
          <w:p>
            <w:pPr>
              <w:spacing w:after="0"/>
              <w:rPr>
                <w:rFonts w:ascii="Arial" w:cs="Arial" w:eastAsia="Arial" w:hAnsi="Arial"/>
                <w:sz w:val="18"/>
                <w:szCs w:val="18"/>
                <w:color w:val="0000FF"/>
                <w:w w:val="95"/>
              </w:rPr>
            </w:pPr>
            <w:hyperlink r:id="rId106">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Certificate of Incorporation of Gibraltar Industries, Inc., as amended by: (i) Certificate of Amendment of Certificate of</w:t>
            </w:r>
          </w:p>
        </w:tc>
      </w:tr>
      <w:tr>
        <w:trPr>
          <w:trHeight w:val="231"/>
        </w:trPr>
        <w:tc>
          <w:tcPr>
            <w:tcW w:w="2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Incorporation of Gibraltar Industries, Inc. filed on October 27, 2004, (ii) Certificate of Change of Registered Agent and</w:t>
            </w: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Registered Office of Gibraltar Industries, Inc. filed on May 11, 2005, (iii) Certificate of Amendment of Certificate of</w:t>
            </w: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Incorporation of Gibraltar Industries, Inc. filed on May 22, 2012, (iv) Certificate of Amendment of Certificate of Incorporation</w:t>
            </w: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of Gibraltar Industries, Inc. filed on May 11, 2015, (v) Certificate of Change of Registered Agent and/or Registered Office</w:t>
            </w: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filed on January 10, 2019, (vi) Certificate of Amendment of Certificate of Incorporation of Gibraltar Industries, Inc. filed on</w:t>
            </w: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May 6, 2021 (incorporated by reference to Exhibit 3.1 to the Company’s Quarterly Report on Form 10-Q filed on August 3,</w:t>
            </w:r>
          </w:p>
        </w:tc>
      </w:tr>
      <w:tr>
        <w:trPr>
          <w:trHeight w:val="194"/>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320" w:type="dxa"/>
            <w:vAlign w:val="bottom"/>
            <w:gridSpan w:val="7"/>
          </w:tcPr>
          <w:p>
            <w:pPr>
              <w:ind w:left="420"/>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2021), and (vii) </w:t>
            </w:r>
            <w:hyperlink r:id="rId107">
              <w:r>
                <w:rPr>
                  <w:rFonts w:ascii="Arial" w:cs="Arial" w:eastAsia="Arial" w:hAnsi="Arial"/>
                  <w:sz w:val="18"/>
                  <w:szCs w:val="18"/>
                  <w:color w:val="0000FF"/>
                </w:rPr>
                <w:t>Certificate of Amendment of Certificate of Incorporation of Gibraltar Industries, Inc.</w:t>
              </w:r>
              <w:r>
                <w:rPr>
                  <w:rFonts w:ascii="Arial" w:cs="Arial" w:eastAsia="Arial" w:hAnsi="Arial"/>
                  <w:sz w:val="18"/>
                  <w:szCs w:val="18"/>
                  <w:color w:val="auto"/>
                </w:rPr>
                <w:t xml:space="preserve"> </w:t>
              </w:r>
            </w:hyperlink>
            <w:r>
              <w:rPr>
                <w:rFonts w:ascii="Arial" w:cs="Arial" w:eastAsia="Arial" w:hAnsi="Arial"/>
                <w:sz w:val="18"/>
                <w:szCs w:val="18"/>
                <w:color w:val="auto"/>
              </w:rPr>
              <w:t>filed on May 3, 2023</w:t>
            </w: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6860" w:type="dxa"/>
            <w:vAlign w:val="bottom"/>
            <w:gridSpan w:val="3"/>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1"/>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(incorporated by reference to Exhibit 3.1 to the Company’s Current Report on Form 8-K filed on May 8, 2023)</w:t>
            </w:r>
          </w:p>
        </w:tc>
      </w:tr>
      <w:tr>
        <w:trPr>
          <w:trHeight w:val="266"/>
        </w:trPr>
        <w:tc>
          <w:tcPr>
            <w:tcW w:w="280" w:type="dxa"/>
            <w:vAlign w:val="bottom"/>
          </w:tcPr>
          <w:p>
            <w:pPr>
              <w:spacing w:after="0"/>
              <w:rPr>
                <w:rFonts w:ascii="Arial" w:cs="Arial" w:eastAsia="Arial" w:hAnsi="Arial"/>
                <w:sz w:val="18"/>
                <w:szCs w:val="18"/>
                <w:color w:val="0000FF"/>
                <w:w w:val="95"/>
              </w:rPr>
            </w:pPr>
            <w:hyperlink r:id="rId108">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Second Amended and Restated By-Laws of Gibraltar Industries, Inc., effective as of December 7, 2022 (incorporated by</w:t>
            </w:r>
          </w:p>
        </w:tc>
      </w:tr>
      <w:tr>
        <w:trPr>
          <w:trHeight w:val="254"/>
        </w:trPr>
        <w:tc>
          <w:tcPr>
            <w:tcW w:w="28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reference to Exhibit 3.1 to the Company’s Current Report on Form 8-K/A filed on December 9, 2022)</w:t>
            </w:r>
          </w:p>
        </w:tc>
      </w:tr>
      <w:tr>
        <w:trPr>
          <w:trHeight w:val="266"/>
        </w:trPr>
        <w:tc>
          <w:tcPr>
            <w:tcW w:w="280" w:type="dxa"/>
            <w:vAlign w:val="bottom"/>
          </w:tcPr>
          <w:p>
            <w:pPr>
              <w:spacing w:after="0"/>
              <w:rPr>
                <w:rFonts w:ascii="Arial" w:cs="Arial" w:eastAsia="Arial" w:hAnsi="Arial"/>
                <w:sz w:val="18"/>
                <w:szCs w:val="18"/>
                <w:color w:val="0000FF"/>
                <w:w w:val="95"/>
              </w:rPr>
            </w:pPr>
            <w:hyperlink r:id="rId10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Description of Registrant's Securities (incorporated by reference to Exhibit 4.1 to the Company’s Current Report on Form 8-</w:t>
            </w:r>
          </w:p>
        </w:tc>
      </w:tr>
      <w:tr>
        <w:trPr>
          <w:trHeight w:val="254"/>
        </w:trPr>
        <w:tc>
          <w:tcPr>
            <w:tcW w:w="28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K/A filed on December 9, 2022)</w:t>
            </w:r>
          </w:p>
        </w:tc>
      </w:tr>
      <w:tr>
        <w:trPr>
          <w:trHeight w:val="266"/>
        </w:trPr>
        <w:tc>
          <w:tcPr>
            <w:tcW w:w="840" w:type="dxa"/>
            <w:vAlign w:val="bottom"/>
            <w:gridSpan w:val="3"/>
          </w:tcPr>
          <w:p>
            <w:pPr>
              <w:spacing w:after="0"/>
              <w:rPr>
                <w:rFonts w:ascii="Arial" w:cs="Arial" w:eastAsia="Arial" w:hAnsi="Arial"/>
                <w:sz w:val="18"/>
                <w:szCs w:val="18"/>
                <w:color w:val="0000FF"/>
              </w:rPr>
            </w:pPr>
            <w:hyperlink r:id="rId110">
              <w:r>
                <w:rPr>
                  <w:rFonts w:ascii="Arial" w:cs="Arial" w:eastAsia="Arial" w:hAnsi="Arial"/>
                  <w:sz w:val="18"/>
                  <w:szCs w:val="18"/>
                  <w:color w:val="0000FF"/>
                </w:rPr>
                <w:t>10.</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Correspondence dated December 17, 2018, from William P. Montague to William T. Bosway (incorporated by reference to</w:t>
            </w:r>
          </w:p>
        </w:tc>
      </w:tr>
      <w:tr>
        <w:trPr>
          <w:trHeight w:val="254"/>
        </w:trPr>
        <w:tc>
          <w:tcPr>
            <w:tcW w:w="2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Exhibit 10.1 to the Company's Current Report on Form 8-K filed January 7, 2019)</w:t>
            </w:r>
          </w:p>
        </w:tc>
      </w:tr>
      <w:tr>
        <w:trPr>
          <w:trHeight w:val="266"/>
        </w:trPr>
        <w:tc>
          <w:tcPr>
            <w:tcW w:w="840" w:type="dxa"/>
            <w:vAlign w:val="bottom"/>
            <w:gridSpan w:val="3"/>
          </w:tcPr>
          <w:p>
            <w:pPr>
              <w:spacing w:after="0"/>
              <w:rPr>
                <w:rFonts w:ascii="Arial" w:cs="Arial" w:eastAsia="Arial" w:hAnsi="Arial"/>
                <w:sz w:val="18"/>
                <w:szCs w:val="18"/>
                <w:color w:val="0000FF"/>
              </w:rPr>
            </w:pPr>
            <w:hyperlink r:id="rId111">
              <w:r>
                <w:rPr>
                  <w:rFonts w:ascii="Arial" w:cs="Arial" w:eastAsia="Arial" w:hAnsi="Arial"/>
                  <w:sz w:val="18"/>
                  <w:szCs w:val="18"/>
                  <w:color w:val="0000FF"/>
                </w:rPr>
                <w:t>10.</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Restrictive Covenants and Severance Agreement by and between Gibraltar Industries, Inc. and William T. Bosway, dated</w:t>
            </w:r>
          </w:p>
        </w:tc>
      </w:tr>
      <w:tr>
        <w:trPr>
          <w:trHeight w:val="231"/>
        </w:trPr>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500" w:type="dxa"/>
            <w:vAlign w:val="bottom"/>
          </w:tcPr>
          <w:p>
            <w:pPr>
              <w:spacing w:after="0"/>
              <w:rPr>
                <w:sz w:val="20"/>
                <w:szCs w:val="20"/>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December 17, 2018 and effective January 2, 2019 (incorporated by reference to Exhibit 10.2 to the Company's Current</w:t>
            </w:r>
          </w:p>
        </w:tc>
      </w:tr>
      <w:tr>
        <w:trPr>
          <w:trHeight w:val="239"/>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Report on Form 8-K filed January 7, 2019)</w:t>
            </w:r>
          </w:p>
        </w:tc>
      </w:tr>
      <w:tr>
        <w:trPr>
          <w:trHeight w:val="266"/>
        </w:trPr>
        <w:tc>
          <w:tcPr>
            <w:tcW w:w="840" w:type="dxa"/>
            <w:vAlign w:val="bottom"/>
            <w:gridSpan w:val="3"/>
          </w:tcPr>
          <w:p>
            <w:pPr>
              <w:spacing w:after="0"/>
              <w:rPr>
                <w:rFonts w:ascii="Arial" w:cs="Arial" w:eastAsia="Arial" w:hAnsi="Arial"/>
                <w:sz w:val="18"/>
                <w:szCs w:val="18"/>
                <w:color w:val="0000FF"/>
              </w:rPr>
            </w:pPr>
            <w:hyperlink r:id="rId112">
              <w:r>
                <w:rPr>
                  <w:rFonts w:ascii="Arial" w:cs="Arial" w:eastAsia="Arial" w:hAnsi="Arial"/>
                  <w:sz w:val="18"/>
                  <w:szCs w:val="18"/>
                  <w:color w:val="0000FF"/>
                </w:rPr>
                <w:t>10.</w:t>
              </w:r>
              <w:r>
                <w:rPr>
                  <w:rFonts w:ascii="Arial" w:cs="Arial" w:eastAsia="Arial" w:hAnsi="Arial"/>
                  <w:sz w:val="18"/>
                  <w:szCs w:val="18"/>
                  <w:u w:val="single" w:color="auto"/>
                  <w:color w:val="0000FF"/>
                </w:rPr>
                <w:t>3</w:t>
              </w:r>
            </w:hyperlink>
            <w:r>
              <w:rPr>
                <w:rFonts w:ascii="Arial" w:cs="Arial" w:eastAsia="Arial" w:hAnsi="Arial"/>
                <w:sz w:val="18"/>
                <w:szCs w:val="18"/>
                <w:color w:val="000000"/>
              </w:rPr>
              <w:t>*</w:t>
            </w: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Gibraltar Industries, Inc. Change in Control Executive Severance Plan, effective as of July 28, 2023 (incorporated by</w:t>
            </w:r>
          </w:p>
        </w:tc>
      </w:tr>
      <w:tr>
        <w:trPr>
          <w:trHeight w:val="254"/>
        </w:trPr>
        <w:tc>
          <w:tcPr>
            <w:tcW w:w="2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reference to Exhibit 10.1 to the Company's Current Report on Form 8-K filed on August 2, 2023)</w:t>
            </w:r>
          </w:p>
        </w:tc>
      </w:tr>
      <w:tr>
        <w:trPr>
          <w:trHeight w:val="266"/>
        </w:trPr>
        <w:tc>
          <w:tcPr>
            <w:tcW w:w="840" w:type="dxa"/>
            <w:vAlign w:val="bottom"/>
            <w:gridSpan w:val="3"/>
          </w:tcPr>
          <w:p>
            <w:pPr>
              <w:spacing w:after="0"/>
              <w:rPr>
                <w:rFonts w:ascii="Arial" w:cs="Arial" w:eastAsia="Arial" w:hAnsi="Arial"/>
                <w:sz w:val="18"/>
                <w:szCs w:val="18"/>
                <w:color w:val="0000FF"/>
              </w:rPr>
            </w:pPr>
            <w:hyperlink r:id="rId113">
              <w:r>
                <w:rPr>
                  <w:rFonts w:ascii="Arial" w:cs="Arial" w:eastAsia="Arial" w:hAnsi="Arial"/>
                  <w:sz w:val="18"/>
                  <w:szCs w:val="18"/>
                  <w:color w:val="0000FF"/>
                </w:rPr>
                <w:t>10.</w:t>
              </w:r>
              <w:r>
                <w:rPr>
                  <w:rFonts w:ascii="Arial" w:cs="Arial" w:eastAsia="Arial" w:hAnsi="Arial"/>
                  <w:sz w:val="18"/>
                  <w:szCs w:val="18"/>
                  <w:u w:val="single" w:color="auto"/>
                  <w:color w:val="0000FF"/>
                </w:rPr>
                <w:t>4</w:t>
              </w:r>
            </w:hyperlink>
            <w:r>
              <w:rPr>
                <w:rFonts w:ascii="Arial" w:cs="Arial" w:eastAsia="Arial" w:hAnsi="Arial"/>
                <w:sz w:val="18"/>
                <w:szCs w:val="18"/>
                <w:color w:val="000000"/>
              </w:rPr>
              <w:t>*</w:t>
            </w: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Change in Control Agreement between the Company and William T. Bosway dated December 17, 2018 and effective</w:t>
            </w:r>
          </w:p>
        </w:tc>
      </w:tr>
      <w:tr>
        <w:trPr>
          <w:trHeight w:val="249"/>
        </w:trPr>
        <w:tc>
          <w:tcPr>
            <w:tcW w:w="2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500" w:type="dxa"/>
            <w:vAlign w:val="bottom"/>
          </w:tcPr>
          <w:p>
            <w:pPr>
              <w:spacing w:after="0"/>
              <w:rPr>
                <w:sz w:val="21"/>
                <w:szCs w:val="21"/>
                <w:color w:val="auto"/>
              </w:rPr>
            </w:pPr>
          </w:p>
        </w:tc>
        <w:tc>
          <w:tcPr>
            <w:tcW w:w="10320" w:type="dxa"/>
            <w:vAlign w:val="bottom"/>
            <w:gridSpan w:val="7"/>
          </w:tcPr>
          <w:p>
            <w:pPr>
              <w:ind w:left="420"/>
              <w:spacing w:after="0"/>
              <w:rPr>
                <w:sz w:val="20"/>
                <w:szCs w:val="20"/>
                <w:color w:val="auto"/>
              </w:rPr>
            </w:pPr>
            <w:r>
              <w:rPr>
                <w:rFonts w:ascii="Arial" w:cs="Arial" w:eastAsia="Arial" w:hAnsi="Arial"/>
                <w:sz w:val="18"/>
                <w:szCs w:val="18"/>
                <w:color w:val="auto"/>
              </w:rPr>
              <w:t>January 2, 2019 (incorporated by reference to Exhibit 10.3 to the Company’s Current Report on Form 8-K filed January 7,</w:t>
            </w:r>
          </w:p>
        </w:tc>
      </w:tr>
    </w:tbl>
    <w:p>
      <w:pPr>
        <w:ind w:left="1300" w:right="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2019), as amended by </w:t>
      </w:r>
      <w:hyperlink r:id="rId114">
        <w:r>
          <w:rPr>
            <w:rFonts w:ascii="Arial" w:cs="Arial" w:eastAsia="Arial" w:hAnsi="Arial"/>
            <w:sz w:val="18"/>
            <w:szCs w:val="18"/>
            <w:u w:val="single" w:color="auto"/>
            <w:color w:val="0000FF"/>
          </w:rPr>
          <w:t>First Amendment to Change in Control Agreement and Employment Agreement</w:t>
        </w:r>
      </w:hyperlink>
      <w:r>
        <w:rPr>
          <w:rFonts w:ascii="Arial" w:cs="Arial" w:eastAsia="Arial" w:hAnsi="Arial"/>
          <w:sz w:val="18"/>
          <w:szCs w:val="18"/>
          <w:color w:val="auto"/>
        </w:rPr>
        <w:t>, dated July 28, 2023 (incorporated by reference to Exhibit 10.2 to the Company's Current Report on Form 8-K filed on August 2, 2023)</w:t>
      </w:r>
    </w:p>
    <w:p>
      <w:pPr>
        <w:sectPr>
          <w:pgSz w:w="11900" w:h="16838" w:orient="portrait"/>
          <w:cols w:equalWidth="0" w:num="1">
            <w:col w:w="11240"/>
          </w:cols>
          <w:pgMar w:left="320" w:top="122" w:right="339" w:bottom="1440" w:gutter="0" w:footer="0" w:header="0"/>
        </w:sectPr>
      </w:pPr>
    </w:p>
    <w:p>
      <w:pPr>
        <w:spacing w:after="0" w:line="50" w:lineRule="exact"/>
        <w:rPr>
          <w:sz w:val="20"/>
          <w:szCs w:val="20"/>
          <w:color w:val="auto"/>
        </w:rPr>
      </w:pPr>
    </w:p>
    <w:p>
      <w:pPr>
        <w:ind w:left="40"/>
        <w:spacing w:after="0"/>
        <w:rPr>
          <w:rFonts w:ascii="Arial" w:cs="Arial" w:eastAsia="Arial" w:hAnsi="Arial"/>
          <w:sz w:val="17"/>
          <w:szCs w:val="17"/>
          <w:color w:val="0000FF"/>
        </w:rPr>
      </w:pPr>
      <w:hyperlink r:id="rId115">
        <w:r>
          <w:rPr>
            <w:rFonts w:ascii="Arial" w:cs="Arial" w:eastAsia="Arial" w:hAnsi="Arial"/>
            <w:sz w:val="17"/>
            <w:szCs w:val="17"/>
            <w:u w:val="single" w:color="auto"/>
            <w:color w:val="0000FF"/>
          </w:rPr>
          <w:t>10.5</w:t>
        </w:r>
      </w:hyperlink>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rFonts w:ascii="Arial" w:cs="Arial" w:eastAsia="Arial" w:hAnsi="Arial"/>
          <w:sz w:val="17"/>
          <w:szCs w:val="17"/>
          <w:color w:val="0000FF"/>
        </w:rPr>
      </w:pPr>
      <w:hyperlink r:id="rId116">
        <w:r>
          <w:rPr>
            <w:rFonts w:ascii="Arial" w:cs="Arial" w:eastAsia="Arial" w:hAnsi="Arial"/>
            <w:sz w:val="17"/>
            <w:szCs w:val="17"/>
            <w:u w:val="single" w:color="auto"/>
            <w:color w:val="0000FF"/>
          </w:rPr>
          <w:t>10.6</w:t>
        </w:r>
      </w:hyperlink>
      <w:r>
        <w:rPr>
          <w:rFonts w:ascii="Arial" w:cs="Arial" w:eastAsia="Arial" w:hAnsi="Arial"/>
          <w:sz w:val="17"/>
          <w:szCs w:val="17"/>
          <w:color w:val="000000"/>
        </w:rPr>
        <w:t>*</w:t>
      </w:r>
    </w:p>
    <w:p>
      <w:pPr>
        <w:spacing w:after="0" w:line="345" w:lineRule="exact"/>
        <w:rPr>
          <w:sz w:val="20"/>
          <w:szCs w:val="20"/>
          <w:color w:val="auto"/>
        </w:rPr>
      </w:pPr>
    </w:p>
    <w:p>
      <w:pPr>
        <w:ind w:left="40"/>
        <w:spacing w:after="0"/>
        <w:rPr>
          <w:rFonts w:ascii="Arial" w:cs="Arial" w:eastAsia="Arial" w:hAnsi="Arial"/>
          <w:sz w:val="17"/>
          <w:szCs w:val="17"/>
          <w:color w:val="0000FF"/>
        </w:rPr>
      </w:pPr>
      <w:hyperlink r:id="rId117">
        <w:r>
          <w:rPr>
            <w:rFonts w:ascii="Arial" w:cs="Arial" w:eastAsia="Arial" w:hAnsi="Arial"/>
            <w:sz w:val="17"/>
            <w:szCs w:val="17"/>
            <w:u w:val="single" w:color="auto"/>
            <w:color w:val="0000FF"/>
          </w:rPr>
          <w:t>10.7</w:t>
        </w:r>
      </w:hyperlink>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right="4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Change in Control Agreement between Gibraltar Industries, Inc. and Timothy F. Murphy (incorporated by reference to </w:t>
      </w:r>
      <w:hyperlink r:id="rId118">
        <w:r>
          <w:rPr>
            <w:rFonts w:ascii="Arial" w:cs="Arial" w:eastAsia="Arial" w:hAnsi="Arial"/>
            <w:sz w:val="18"/>
            <w:szCs w:val="18"/>
            <w:color w:val="auto"/>
          </w:rPr>
          <w:t xml:space="preserve">Exhibit 10.2 to the Company’s Quarterly Report on Form 10-Q filed May 5, 2017), as amended by </w:t>
        </w:r>
        <w:r>
          <w:rPr>
            <w:rFonts w:ascii="Arial" w:cs="Arial" w:eastAsia="Arial" w:hAnsi="Arial"/>
            <w:sz w:val="18"/>
            <w:szCs w:val="18"/>
            <w:u w:val="single" w:color="auto"/>
            <w:color w:val="0000FF"/>
          </w:rPr>
          <w:t>First Amendment to</w:t>
        </w:r>
      </w:hyperlink>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Change in Control Agreement</w:t>
        </w:r>
        <w:r>
          <w:rPr>
            <w:rFonts w:ascii="Arial" w:cs="Arial" w:eastAsia="Arial" w:hAnsi="Arial"/>
            <w:sz w:val="18"/>
            <w:szCs w:val="18"/>
            <w:color w:val="000000"/>
          </w:rPr>
          <w:t>, dated July 28, 2023 (incorporated by reference to Exhibit 10.3 to the Company's Current</w:t>
        </w:r>
      </w:hyperlink>
      <w:r>
        <w:rPr>
          <w:rFonts w:ascii="Arial" w:cs="Arial" w:eastAsia="Arial" w:hAnsi="Arial"/>
          <w:sz w:val="18"/>
          <w:szCs w:val="18"/>
          <w:color w:val="0000FF"/>
        </w:rPr>
        <w:t xml:space="preserve"> </w:t>
      </w:r>
      <w:r>
        <w:rPr>
          <w:rFonts w:ascii="Arial" w:cs="Arial" w:eastAsia="Arial" w:hAnsi="Arial"/>
          <w:sz w:val="18"/>
          <w:szCs w:val="18"/>
          <w:color w:val="000000"/>
        </w:rPr>
        <w:t>Report on Form 8-K filed on August 2, 2023)</w:t>
      </w:r>
    </w:p>
    <w:p>
      <w:pPr>
        <w:spacing w:after="0" w:line="68"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Gibraltar Deferred Compensation Plan Amended and Restated, effective January 1, 2009 (incorporated by reference to Exhibit 10.2 to the Company’s Current Report on Form 8-K filed February 24, 2009)</w:t>
      </w:r>
    </w:p>
    <w:p>
      <w:pPr>
        <w:spacing w:after="0" w:line="45" w:lineRule="exact"/>
        <w:rPr>
          <w:sz w:val="20"/>
          <w:szCs w:val="20"/>
          <w:color w:val="auto"/>
        </w:rPr>
      </w:pPr>
    </w:p>
    <w:p>
      <w:pPr>
        <w:jc w:val="both"/>
        <w:ind w:right="4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Amended and Restated Gibraltar Industries, Inc. 2005 Equity Incentive Plan (incorporated by reference to </w:t>
      </w:r>
      <w:hyperlink r:id="rId119">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Current Report on Form 8-K filed December 21, 2006), as amended by Second Amendment to Third Amendment and Restatement of Equity Incentive Plan, dated May 7, 2015 (incorporated by reference to Exhibit 10.4 to the Company’s Current Report on Form 8-K filed May 12, 2015)</w:t>
      </w:r>
    </w:p>
    <w:p>
      <w:pPr>
        <w:spacing w:after="0" w:line="22" w:lineRule="exact"/>
        <w:rPr>
          <w:sz w:val="20"/>
          <w:szCs w:val="20"/>
          <w:color w:val="auto"/>
        </w:rPr>
      </w:pPr>
    </w:p>
    <w:p>
      <w:pPr>
        <w:sectPr>
          <w:pgSz w:w="11900" w:h="16838" w:orient="portrait"/>
          <w:cols w:equalWidth="0" w:num="2">
            <w:col w:w="580" w:space="720"/>
            <w:col w:w="99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880" w:type="dxa"/>
            <w:vAlign w:val="bottom"/>
            <w:gridSpan w:val="3"/>
          </w:tcPr>
          <w:p>
            <w:pPr>
              <w:jc w:val="right"/>
              <w:ind w:right="420"/>
              <w:spacing w:after="0"/>
              <w:rPr>
                <w:rFonts w:ascii="Arial" w:cs="Arial" w:eastAsia="Arial" w:hAnsi="Arial"/>
                <w:sz w:val="18"/>
                <w:szCs w:val="18"/>
                <w:color w:val="0000FF"/>
              </w:rPr>
            </w:pPr>
            <w:hyperlink r:id="rId120">
              <w:r>
                <w:rPr>
                  <w:rFonts w:ascii="Arial" w:cs="Arial" w:eastAsia="Arial" w:hAnsi="Arial"/>
                  <w:sz w:val="18"/>
                  <w:szCs w:val="18"/>
                  <w:color w:val="0000FF"/>
                </w:rPr>
                <w:t>10.</w:t>
              </w:r>
              <w:r>
                <w:rPr>
                  <w:rFonts w:ascii="Arial" w:cs="Arial" w:eastAsia="Arial" w:hAnsi="Arial"/>
                  <w:sz w:val="18"/>
                  <w:szCs w:val="18"/>
                  <w:u w:val="single" w:color="auto"/>
                  <w:color w:val="0000FF"/>
                </w:rPr>
                <w:t>8</w:t>
              </w:r>
            </w:hyperlink>
            <w:r>
              <w:rPr>
                <w:rFonts w:ascii="Arial" w:cs="Arial" w:eastAsia="Arial" w:hAnsi="Arial"/>
                <w:sz w:val="18"/>
                <w:szCs w:val="18"/>
                <w:color w:val="000000"/>
              </w:rPr>
              <w:t>*</w:t>
            </w:r>
          </w:p>
        </w:tc>
        <w:tc>
          <w:tcPr>
            <w:tcW w:w="10360" w:type="dxa"/>
            <w:vAlign w:val="bottom"/>
          </w:tcPr>
          <w:p>
            <w:pPr>
              <w:ind w:left="420"/>
              <w:spacing w:after="0"/>
              <w:rPr>
                <w:sz w:val="20"/>
                <w:szCs w:val="20"/>
                <w:color w:val="auto"/>
              </w:rPr>
            </w:pPr>
            <w:r>
              <w:rPr>
                <w:rFonts w:ascii="Arial" w:cs="Arial" w:eastAsia="Arial" w:hAnsi="Arial"/>
                <w:sz w:val="18"/>
                <w:szCs w:val="18"/>
                <w:color w:val="auto"/>
              </w:rPr>
              <w:t>Gibraltar Industries, Inc. Omnibus Code Section 409A Compliance Policy, dated December 30, 2008 (incorporated by</w:t>
            </w:r>
          </w:p>
        </w:tc>
      </w:tr>
      <w:tr>
        <w:trPr>
          <w:trHeight w:val="254"/>
        </w:trPr>
        <w:tc>
          <w:tcPr>
            <w:tcW w:w="4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reference to Exhibit 10.3 to the Company’s Current Report on Form 8-K filed January 6, 2009)</w:t>
            </w:r>
          </w:p>
        </w:tc>
      </w:tr>
      <w:tr>
        <w:trPr>
          <w:trHeight w:val="266"/>
        </w:trPr>
        <w:tc>
          <w:tcPr>
            <w:tcW w:w="880" w:type="dxa"/>
            <w:vAlign w:val="bottom"/>
            <w:gridSpan w:val="3"/>
          </w:tcPr>
          <w:p>
            <w:pPr>
              <w:jc w:val="right"/>
              <w:ind w:right="420"/>
              <w:spacing w:after="0"/>
              <w:rPr>
                <w:rFonts w:ascii="Arial" w:cs="Arial" w:eastAsia="Arial" w:hAnsi="Arial"/>
                <w:sz w:val="18"/>
                <w:szCs w:val="18"/>
                <w:color w:val="0000FF"/>
              </w:rPr>
            </w:pPr>
            <w:hyperlink r:id="rId121">
              <w:r>
                <w:rPr>
                  <w:rFonts w:ascii="Arial" w:cs="Arial" w:eastAsia="Arial" w:hAnsi="Arial"/>
                  <w:sz w:val="18"/>
                  <w:szCs w:val="18"/>
                  <w:color w:val="0000FF"/>
                </w:rPr>
                <w:t>10.</w:t>
              </w:r>
              <w:r>
                <w:rPr>
                  <w:rFonts w:ascii="Arial" w:cs="Arial" w:eastAsia="Arial" w:hAnsi="Arial"/>
                  <w:sz w:val="18"/>
                  <w:szCs w:val="18"/>
                  <w:u w:val="single" w:color="auto"/>
                  <w:color w:val="0000FF"/>
                </w:rPr>
                <w:t>9</w:t>
              </w:r>
            </w:hyperlink>
            <w:r>
              <w:rPr>
                <w:rFonts w:ascii="Arial" w:cs="Arial" w:eastAsia="Arial" w:hAnsi="Arial"/>
                <w:sz w:val="18"/>
                <w:szCs w:val="18"/>
                <w:color w:val="000000"/>
              </w:rPr>
              <w:t>*</w:t>
            </w:r>
          </w:p>
        </w:tc>
        <w:tc>
          <w:tcPr>
            <w:tcW w:w="10360" w:type="dxa"/>
            <w:vAlign w:val="bottom"/>
          </w:tcPr>
          <w:p>
            <w:pPr>
              <w:ind w:left="420"/>
              <w:spacing w:after="0"/>
              <w:rPr>
                <w:sz w:val="20"/>
                <w:szCs w:val="20"/>
                <w:color w:val="auto"/>
              </w:rPr>
            </w:pPr>
            <w:r>
              <w:rPr>
                <w:rFonts w:ascii="Arial" w:cs="Arial" w:eastAsia="Arial" w:hAnsi="Arial"/>
                <w:sz w:val="18"/>
                <w:szCs w:val="18"/>
                <w:color w:val="auto"/>
              </w:rPr>
              <w:t>Summary Description of Annual Management Incentive Compensation Plan (incorporated by reference to Exhibit 10.1 to the</w:t>
            </w:r>
          </w:p>
        </w:tc>
      </w:tr>
      <w:tr>
        <w:trPr>
          <w:trHeight w:val="254"/>
        </w:trPr>
        <w:tc>
          <w:tcPr>
            <w:tcW w:w="4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Company’s Current Report on Form 8-K filed February 24, 2009)</w:t>
            </w:r>
          </w:p>
        </w:tc>
      </w:tr>
      <w:tr>
        <w:trPr>
          <w:trHeight w:val="891"/>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360" w:type="dxa"/>
            <w:vAlign w:val="bottom"/>
          </w:tcPr>
          <w:p>
            <w:pPr>
              <w:ind w:left="4640"/>
              <w:spacing w:after="0"/>
              <w:rPr>
                <w:sz w:val="20"/>
                <w:szCs w:val="20"/>
                <w:color w:val="auto"/>
              </w:rPr>
            </w:pPr>
            <w:r>
              <w:rPr>
                <w:rFonts w:ascii="Arial" w:cs="Arial" w:eastAsia="Arial" w:hAnsi="Arial"/>
                <w:sz w:val="18"/>
                <w:szCs w:val="18"/>
                <w:color w:val="auto"/>
              </w:rPr>
              <w:t>73</w:t>
            </w:r>
          </w:p>
        </w:tc>
      </w:tr>
      <w:tr>
        <w:trPr>
          <w:trHeight w:val="111"/>
        </w:trPr>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color w:val="auto"/>
                <w:w w:val="92"/>
              </w:rPr>
              <w:t>No.</w:t>
            </w:r>
          </w:p>
        </w:tc>
        <w:tc>
          <w:tcPr>
            <w:tcW w:w="980" w:type="dxa"/>
            <w:vAlign w:val="bottom"/>
            <w:gridSpan w:val="2"/>
          </w:tcPr>
          <w:p>
            <w:pPr>
              <w:spacing w:after="0"/>
              <w:rPr>
                <w:sz w:val="17"/>
                <w:szCs w:val="17"/>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Exhibit</w:t>
            </w:r>
          </w:p>
        </w:tc>
      </w:tr>
      <w:tr>
        <w:trPr>
          <w:trHeight w:val="20"/>
        </w:trPr>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260" w:type="dxa"/>
            <w:vAlign w:val="bottom"/>
            <w:gridSpan w:val="3"/>
          </w:tcPr>
          <w:p>
            <w:pPr>
              <w:spacing w:after="0"/>
              <w:rPr>
                <w:rFonts w:ascii="Arial" w:cs="Arial" w:eastAsia="Arial" w:hAnsi="Arial"/>
                <w:sz w:val="18"/>
                <w:szCs w:val="18"/>
                <w:color w:val="0000FF"/>
              </w:rPr>
            </w:pPr>
            <w:hyperlink r:id="rId124">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9900" w:type="dxa"/>
            <w:vAlign w:val="bottom"/>
            <w:gridSpan w:val="8"/>
          </w:tcPr>
          <w:p>
            <w:pPr>
              <w:spacing w:after="0"/>
              <w:rPr>
                <w:sz w:val="20"/>
                <w:szCs w:val="20"/>
                <w:color w:val="auto"/>
              </w:rPr>
            </w:pPr>
            <w:r>
              <w:rPr>
                <w:rFonts w:ascii="Arial" w:cs="Arial" w:eastAsia="Arial" w:hAnsi="Arial"/>
                <w:sz w:val="18"/>
                <w:szCs w:val="18"/>
                <w:color w:val="auto"/>
              </w:rPr>
              <w:t>Credit Agreement dated as of December 8, 2022 among Gibraltar Industries, Inc. and Gibraltar Steel Corporation of New</w:t>
            </w:r>
          </w:p>
        </w:tc>
      </w:tr>
      <w:tr>
        <w:trPr>
          <w:trHeight w:val="231"/>
        </w:trPr>
        <w:tc>
          <w:tcPr>
            <w:tcW w:w="2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York, as borrowers, the lenders named therein, KeyBank National Association, as administrative agent, swing line lender</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and issuing lender, KeyBanc Capital Markets Inc., as joint lead arranger and joint book runner, Bank of America, N.A., M&amp;T</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Bank, PNC Bank, National Association, as joint lead arrangers, joint book runners and co-syndication agents, and Comerica</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Bank, TD Bank, N.A. and Wells Fargo Bank, National Association, as co-documentation agents (incorporated by reference</w:t>
            </w:r>
          </w:p>
        </w:tc>
      </w:tr>
      <w:tr>
        <w:trPr>
          <w:trHeight w:val="239"/>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to Exhibit 10.1 to the Company's Current Report on Form 8-K filed December 9, 2022) (1)</w:t>
            </w:r>
          </w:p>
        </w:tc>
      </w:tr>
      <w:tr>
        <w:trPr>
          <w:trHeight w:val="266"/>
        </w:trPr>
        <w:tc>
          <w:tcPr>
            <w:tcW w:w="1260" w:type="dxa"/>
            <w:vAlign w:val="bottom"/>
            <w:gridSpan w:val="3"/>
          </w:tcPr>
          <w:p>
            <w:pPr>
              <w:spacing w:after="0"/>
              <w:rPr>
                <w:rFonts w:ascii="Arial" w:cs="Arial" w:eastAsia="Arial" w:hAnsi="Arial"/>
                <w:sz w:val="18"/>
                <w:szCs w:val="18"/>
                <w:color w:val="0000FF"/>
              </w:rPr>
            </w:pPr>
            <w:hyperlink r:id="rId125">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r>
              <w:rPr>
                <w:rFonts w:ascii="Arial" w:cs="Arial" w:eastAsia="Arial" w:hAnsi="Arial"/>
                <w:sz w:val="18"/>
                <w:szCs w:val="18"/>
                <w:color w:val="000000"/>
              </w:rPr>
              <w:t>*</w:t>
            </w:r>
          </w:p>
        </w:tc>
        <w:tc>
          <w:tcPr>
            <w:tcW w:w="9900" w:type="dxa"/>
            <w:vAlign w:val="bottom"/>
            <w:gridSpan w:val="8"/>
          </w:tcPr>
          <w:p>
            <w:pPr>
              <w:spacing w:after="0"/>
              <w:rPr>
                <w:sz w:val="20"/>
                <w:szCs w:val="20"/>
                <w:color w:val="auto"/>
              </w:rPr>
            </w:pPr>
            <w:r>
              <w:rPr>
                <w:rFonts w:ascii="Arial" w:cs="Arial" w:eastAsia="Arial" w:hAnsi="Arial"/>
                <w:sz w:val="18"/>
                <w:szCs w:val="18"/>
                <w:color w:val="auto"/>
              </w:rPr>
              <w:t xml:space="preserve">Gibraltar Industries, Inc. 2015 Equity Incentive Plan (incorporated by reference to </w:t>
            </w:r>
            <w:r>
              <w:rPr>
                <w:rFonts w:ascii="Arial" w:cs="Arial" w:eastAsia="Arial" w:hAnsi="Arial"/>
                <w:sz w:val="18"/>
                <w:szCs w:val="18"/>
                <w:color w:val="0000FF"/>
              </w:rPr>
              <w:t>Exhibit 10.4</w:t>
            </w:r>
            <w:r>
              <w:rPr>
                <w:rFonts w:ascii="Arial" w:cs="Arial" w:eastAsia="Arial" w:hAnsi="Arial"/>
                <w:sz w:val="18"/>
                <w:szCs w:val="18"/>
                <w:color w:val="auto"/>
              </w:rPr>
              <w:t xml:space="preserve"> to the Company's Current</w:t>
            </w:r>
          </w:p>
        </w:tc>
      </w:tr>
      <w:tr>
        <w:trPr>
          <w:trHeight w:val="27"/>
        </w:trPr>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0" w:type="dxa"/>
            <w:vAlign w:val="bottom"/>
            <w:gridSpan w:val="2"/>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4"/>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Report on Form 8-K filed January 7, 2016), and as amended by Gibraltar Industries, Inc. 2015 Equity Incentive Plan First</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Amendment dated May 5, 2017 (incorporated by reference to Exhibit 10.1 to the Company's Current Report on Form 8-K</w:t>
            </w:r>
          </w:p>
        </w:tc>
      </w:tr>
      <w:tr>
        <w:trPr>
          <w:trHeight w:val="239"/>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filed May 9, 2017)</w:t>
            </w:r>
          </w:p>
        </w:tc>
      </w:tr>
      <w:tr>
        <w:trPr>
          <w:trHeight w:val="266"/>
        </w:trPr>
        <w:tc>
          <w:tcPr>
            <w:tcW w:w="1260" w:type="dxa"/>
            <w:vAlign w:val="bottom"/>
            <w:gridSpan w:val="3"/>
          </w:tcPr>
          <w:p>
            <w:pPr>
              <w:spacing w:after="0"/>
              <w:rPr>
                <w:rFonts w:ascii="Arial" w:cs="Arial" w:eastAsia="Arial" w:hAnsi="Arial"/>
                <w:sz w:val="18"/>
                <w:szCs w:val="18"/>
                <w:color w:val="0000FF"/>
              </w:rPr>
            </w:pPr>
            <w:hyperlink r:id="rId126">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r>
              <w:rPr>
                <w:rFonts w:ascii="Arial" w:cs="Arial" w:eastAsia="Arial" w:hAnsi="Arial"/>
                <w:sz w:val="18"/>
                <w:szCs w:val="18"/>
                <w:color w:val="000000"/>
              </w:rPr>
              <w:t>*</w:t>
            </w:r>
          </w:p>
        </w:tc>
        <w:tc>
          <w:tcPr>
            <w:tcW w:w="9900" w:type="dxa"/>
            <w:vAlign w:val="bottom"/>
            <w:gridSpan w:val="8"/>
          </w:tcPr>
          <w:p>
            <w:pPr>
              <w:spacing w:after="0"/>
              <w:rPr>
                <w:sz w:val="20"/>
                <w:szCs w:val="20"/>
                <w:color w:val="auto"/>
              </w:rPr>
            </w:pPr>
            <w:r>
              <w:rPr>
                <w:rFonts w:ascii="Arial" w:cs="Arial" w:eastAsia="Arial" w:hAnsi="Arial"/>
                <w:sz w:val="18"/>
                <w:szCs w:val="18"/>
                <w:color w:val="auto"/>
              </w:rPr>
              <w:t xml:space="preserve">Gibraltar Industries, Inc. 2015 Management Stock Purchase Plan dated May 7, 2015 (incorporated by reference to </w:t>
            </w:r>
            <w:r>
              <w:rPr>
                <w:rFonts w:ascii="Arial" w:cs="Arial" w:eastAsia="Arial" w:hAnsi="Arial"/>
                <w:sz w:val="18"/>
                <w:szCs w:val="18"/>
                <w:color w:val="0000FF"/>
              </w:rPr>
              <w:t>Exhibit</w:t>
            </w:r>
          </w:p>
        </w:tc>
      </w:tr>
      <w:tr>
        <w:trPr>
          <w:trHeight w:val="27"/>
        </w:trPr>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10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r>
      <w:tr>
        <w:trPr>
          <w:trHeight w:val="203"/>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00" w:type="dxa"/>
            <w:vAlign w:val="bottom"/>
            <w:gridSpan w:val="8"/>
          </w:tcPr>
          <w:p>
            <w:pPr>
              <w:spacing w:after="0" w:line="202" w:lineRule="exact"/>
              <w:rPr>
                <w:rFonts w:ascii="Arial" w:cs="Arial" w:eastAsia="Arial" w:hAnsi="Arial"/>
                <w:sz w:val="18"/>
                <w:szCs w:val="18"/>
                <w:color w:val="0000FF"/>
              </w:rPr>
            </w:pPr>
            <w:hyperlink r:id="rId127">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w:t>
              </w:r>
              <w:r>
                <w:rPr>
                  <w:rFonts w:ascii="Arial" w:cs="Arial" w:eastAsia="Arial" w:hAnsi="Arial"/>
                  <w:sz w:val="18"/>
                  <w:szCs w:val="18"/>
                  <w:color w:val="000000"/>
                </w:rPr>
                <w:t>to the Company's Current Report on Form 8-K filed May 12, 2015), as amended by the First Amendment to the</w:t>
              </w:r>
            </w:hyperlink>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00" w:type="dxa"/>
            <w:vAlign w:val="bottom"/>
            <w:gridSpan w:val="8"/>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Management Stock Purchase Plan dated December 31, 2015 (incorporated by reference to </w:t>
            </w:r>
            <w:hyperlink r:id="rId128">
              <w:r>
                <w:rPr>
                  <w:rFonts w:ascii="Arial" w:cs="Arial" w:eastAsia="Arial" w:hAnsi="Arial"/>
                  <w:sz w:val="18"/>
                  <w:szCs w:val="18"/>
                  <w:color w:val="0000FF"/>
                </w:rPr>
                <w:t>Exhibit 10.5</w:t>
              </w:r>
              <w:r>
                <w:rPr>
                  <w:rFonts w:ascii="Arial" w:cs="Arial" w:eastAsia="Arial" w:hAnsi="Arial"/>
                  <w:sz w:val="18"/>
                  <w:szCs w:val="18"/>
                  <w:color w:val="auto"/>
                </w:rPr>
                <w:t xml:space="preserve"> </w:t>
              </w:r>
            </w:hyperlink>
            <w:r>
              <w:rPr>
                <w:rFonts w:ascii="Arial" w:cs="Arial" w:eastAsia="Arial" w:hAnsi="Arial"/>
                <w:sz w:val="18"/>
                <w:szCs w:val="18"/>
                <w:color w:val="auto"/>
              </w:rPr>
              <w:t>to the Company's</w:t>
            </w: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218"/>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w w:val="99"/>
              </w:rPr>
              <w:t>Current Report on Form 8-K filed January 7, 2016), and further amended by the Gibraltar Industries, Inc. Management Stock</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Purchase Plan Second Amendment dated January 28, 2016 (incorporated by reference to Exhibit 10.1 to the Company's</w:t>
            </w:r>
          </w:p>
        </w:tc>
      </w:tr>
      <w:tr>
        <w:trPr>
          <w:trHeight w:val="239"/>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Current Report on Form 8-K filed January 28, 2016)</w:t>
            </w:r>
          </w:p>
        </w:tc>
      </w:tr>
      <w:tr>
        <w:trPr>
          <w:trHeight w:val="266"/>
        </w:trPr>
        <w:tc>
          <w:tcPr>
            <w:tcW w:w="1260" w:type="dxa"/>
            <w:vAlign w:val="bottom"/>
            <w:gridSpan w:val="3"/>
          </w:tcPr>
          <w:p>
            <w:pPr>
              <w:spacing w:after="0"/>
              <w:rPr>
                <w:rFonts w:ascii="Arial" w:cs="Arial" w:eastAsia="Arial" w:hAnsi="Arial"/>
                <w:sz w:val="18"/>
                <w:szCs w:val="18"/>
                <w:color w:val="0000FF"/>
              </w:rPr>
            </w:pPr>
            <w:hyperlink r:id="rId129">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r>
              <w:rPr>
                <w:rFonts w:ascii="Arial" w:cs="Arial" w:eastAsia="Arial" w:hAnsi="Arial"/>
                <w:sz w:val="18"/>
                <w:szCs w:val="18"/>
                <w:color w:val="000000"/>
              </w:rPr>
              <w:t>*</w:t>
            </w:r>
          </w:p>
        </w:tc>
        <w:tc>
          <w:tcPr>
            <w:tcW w:w="9900" w:type="dxa"/>
            <w:vAlign w:val="bottom"/>
            <w:gridSpan w:val="8"/>
          </w:tcPr>
          <w:p>
            <w:pPr>
              <w:spacing w:after="0"/>
              <w:rPr>
                <w:sz w:val="20"/>
                <w:szCs w:val="20"/>
                <w:color w:val="auto"/>
              </w:rPr>
            </w:pPr>
            <w:r>
              <w:rPr>
                <w:rFonts w:ascii="Arial" w:cs="Arial" w:eastAsia="Arial" w:hAnsi="Arial"/>
                <w:sz w:val="18"/>
                <w:szCs w:val="18"/>
                <w:color w:val="auto"/>
                <w:w w:val="99"/>
              </w:rPr>
              <w:t>Gibraltar Industries, Inc. Amended and Restated 2018 Equity Incentive Plan (incorporated by reference to Exhibit 10.1 to the</w:t>
            </w:r>
          </w:p>
        </w:tc>
      </w:tr>
      <w:tr>
        <w:trPr>
          <w:trHeight w:val="254"/>
        </w:trPr>
        <w:tc>
          <w:tcPr>
            <w:tcW w:w="2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Company's Current Report on Form 8-K filed on May 8, 2023)</w:t>
            </w:r>
          </w:p>
        </w:tc>
      </w:tr>
      <w:tr>
        <w:trPr>
          <w:trHeight w:val="266"/>
        </w:trPr>
        <w:tc>
          <w:tcPr>
            <w:tcW w:w="1260" w:type="dxa"/>
            <w:vAlign w:val="bottom"/>
            <w:gridSpan w:val="3"/>
          </w:tcPr>
          <w:p>
            <w:pPr>
              <w:spacing w:after="0"/>
              <w:rPr>
                <w:rFonts w:ascii="Arial" w:cs="Arial" w:eastAsia="Arial" w:hAnsi="Arial"/>
                <w:sz w:val="18"/>
                <w:szCs w:val="18"/>
                <w:color w:val="0000FF"/>
              </w:rPr>
            </w:pPr>
            <w:hyperlink r:id="rId130">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r>
              <w:rPr>
                <w:rFonts w:ascii="Arial" w:cs="Arial" w:eastAsia="Arial" w:hAnsi="Arial"/>
                <w:sz w:val="18"/>
                <w:szCs w:val="18"/>
                <w:color w:val="000000"/>
              </w:rPr>
              <w:t>*</w:t>
            </w:r>
          </w:p>
        </w:tc>
        <w:tc>
          <w:tcPr>
            <w:tcW w:w="9900" w:type="dxa"/>
            <w:vAlign w:val="bottom"/>
            <w:gridSpan w:val="8"/>
          </w:tcPr>
          <w:p>
            <w:pPr>
              <w:spacing w:after="0"/>
              <w:rPr>
                <w:sz w:val="20"/>
                <w:szCs w:val="20"/>
                <w:color w:val="auto"/>
              </w:rPr>
            </w:pPr>
            <w:r>
              <w:rPr>
                <w:rFonts w:ascii="Arial" w:cs="Arial" w:eastAsia="Arial" w:hAnsi="Arial"/>
                <w:sz w:val="18"/>
                <w:szCs w:val="18"/>
                <w:color w:val="auto"/>
              </w:rPr>
              <w:t>Gibraltar Industries, Inc. 2018 Management Stock Purchase Plan dated November 1, 2018 (incorporated by reference to</w:t>
            </w:r>
          </w:p>
        </w:tc>
      </w:tr>
      <w:tr>
        <w:trPr>
          <w:trHeight w:val="254"/>
        </w:trPr>
        <w:tc>
          <w:tcPr>
            <w:tcW w:w="2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Exhibit 10.1 to the Company's Current Report on Form 8-K filed November 1, 2018)</w:t>
            </w:r>
          </w:p>
        </w:tc>
      </w:tr>
      <w:tr>
        <w:trPr>
          <w:trHeight w:val="266"/>
        </w:trPr>
        <w:tc>
          <w:tcPr>
            <w:tcW w:w="1260" w:type="dxa"/>
            <w:vAlign w:val="bottom"/>
            <w:gridSpan w:val="3"/>
          </w:tcPr>
          <w:p>
            <w:pPr>
              <w:spacing w:after="0"/>
              <w:rPr>
                <w:rFonts w:ascii="Arial" w:cs="Arial" w:eastAsia="Arial" w:hAnsi="Arial"/>
                <w:sz w:val="18"/>
                <w:szCs w:val="18"/>
                <w:color w:val="0000FF"/>
              </w:rPr>
            </w:pPr>
            <w:hyperlink r:id="rId131">
              <w:r>
                <w:rPr>
                  <w:rFonts w:ascii="Arial" w:cs="Arial" w:eastAsia="Arial" w:hAnsi="Arial"/>
                  <w:sz w:val="18"/>
                  <w:szCs w:val="18"/>
                  <w:color w:val="0000FF"/>
                </w:rPr>
                <w:t>10.</w:t>
              </w:r>
            </w:hyperlink>
            <w:r>
              <w:rPr>
                <w:rFonts w:ascii="Arial" w:cs="Arial" w:eastAsia="Arial" w:hAnsi="Arial"/>
                <w:sz w:val="18"/>
                <w:szCs w:val="18"/>
                <w:u w:val="single" w:color="auto"/>
                <w:color w:val="0000FF"/>
              </w:rPr>
              <w:t>15</w:t>
            </w:r>
            <w:r>
              <w:rPr>
                <w:rFonts w:ascii="Arial" w:cs="Arial" w:eastAsia="Arial" w:hAnsi="Arial"/>
                <w:sz w:val="18"/>
                <w:szCs w:val="18"/>
                <w:color w:val="000000"/>
              </w:rPr>
              <w:t>*</w:t>
            </w:r>
          </w:p>
        </w:tc>
        <w:tc>
          <w:tcPr>
            <w:tcW w:w="9900" w:type="dxa"/>
            <w:vAlign w:val="bottom"/>
            <w:gridSpan w:val="8"/>
          </w:tcPr>
          <w:p>
            <w:pPr>
              <w:spacing w:after="0"/>
              <w:rPr>
                <w:sz w:val="20"/>
                <w:szCs w:val="20"/>
                <w:color w:val="auto"/>
              </w:rPr>
            </w:pPr>
            <w:r>
              <w:rPr>
                <w:rFonts w:ascii="Arial" w:cs="Arial" w:eastAsia="Arial" w:hAnsi="Arial"/>
                <w:sz w:val="18"/>
                <w:szCs w:val="18"/>
                <w:color w:val="auto"/>
              </w:rPr>
              <w:t>Gibraltar Industries, Inc. 2015 Equity Incentive Plan Form of Award of Non-Qualified Options dated December 31, 2015</w:t>
            </w:r>
          </w:p>
        </w:tc>
      </w:tr>
      <w:tr>
        <w:trPr>
          <w:trHeight w:val="254"/>
        </w:trPr>
        <w:tc>
          <w:tcPr>
            <w:tcW w:w="2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(incorporated by reference to Exhibit 10.2 to the Company's Current Report on Form 8-K filed January 7, 2016)</w:t>
            </w:r>
          </w:p>
        </w:tc>
      </w:tr>
      <w:tr>
        <w:trPr>
          <w:trHeight w:val="266"/>
        </w:trPr>
        <w:tc>
          <w:tcPr>
            <w:tcW w:w="1260" w:type="dxa"/>
            <w:vAlign w:val="bottom"/>
            <w:gridSpan w:val="3"/>
          </w:tcPr>
          <w:p>
            <w:pPr>
              <w:spacing w:after="0"/>
              <w:rPr>
                <w:rFonts w:ascii="Arial" w:cs="Arial" w:eastAsia="Arial" w:hAnsi="Arial"/>
                <w:sz w:val="18"/>
                <w:szCs w:val="18"/>
                <w:color w:val="0000FF"/>
              </w:rPr>
            </w:pPr>
            <w:hyperlink r:id="rId132">
              <w:r>
                <w:rPr>
                  <w:rFonts w:ascii="Arial" w:cs="Arial" w:eastAsia="Arial" w:hAnsi="Arial"/>
                  <w:sz w:val="18"/>
                  <w:szCs w:val="18"/>
                  <w:color w:val="0000FF"/>
                </w:rPr>
                <w:t>10.</w:t>
              </w:r>
            </w:hyperlink>
            <w:r>
              <w:rPr>
                <w:rFonts w:ascii="Arial" w:cs="Arial" w:eastAsia="Arial" w:hAnsi="Arial"/>
                <w:sz w:val="18"/>
                <w:szCs w:val="18"/>
                <w:u w:val="single" w:color="auto"/>
                <w:color w:val="0000FF"/>
              </w:rPr>
              <w:t>16</w:t>
            </w:r>
            <w:r>
              <w:rPr>
                <w:rFonts w:ascii="Arial" w:cs="Arial" w:eastAsia="Arial" w:hAnsi="Arial"/>
                <w:sz w:val="18"/>
                <w:szCs w:val="18"/>
                <w:color w:val="000000"/>
              </w:rPr>
              <w:t>*</w:t>
            </w:r>
          </w:p>
        </w:tc>
        <w:tc>
          <w:tcPr>
            <w:tcW w:w="9900" w:type="dxa"/>
            <w:vAlign w:val="bottom"/>
            <w:gridSpan w:val="8"/>
          </w:tcPr>
          <w:p>
            <w:pPr>
              <w:spacing w:after="0"/>
              <w:rPr>
                <w:sz w:val="20"/>
                <w:szCs w:val="20"/>
                <w:color w:val="auto"/>
              </w:rPr>
            </w:pPr>
            <w:r>
              <w:rPr>
                <w:rFonts w:ascii="Arial" w:cs="Arial" w:eastAsia="Arial" w:hAnsi="Arial"/>
                <w:sz w:val="18"/>
                <w:szCs w:val="18"/>
                <w:color w:val="auto"/>
              </w:rPr>
              <w:t>Gibraltar Industries, Inc. 2015 Equity Incentive Plan Form of Award of Restricted Units dated December 31, 2015</w:t>
            </w:r>
          </w:p>
        </w:tc>
      </w:tr>
      <w:tr>
        <w:trPr>
          <w:trHeight w:val="254"/>
        </w:trPr>
        <w:tc>
          <w:tcPr>
            <w:tcW w:w="2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(incorporated by reference to Exhibit 10.3 to the Company's Current Report on Form 8-K filed February 5, 2016)</w:t>
            </w:r>
          </w:p>
        </w:tc>
      </w:tr>
      <w:tr>
        <w:trPr>
          <w:trHeight w:val="266"/>
        </w:trPr>
        <w:tc>
          <w:tcPr>
            <w:tcW w:w="1260" w:type="dxa"/>
            <w:vAlign w:val="bottom"/>
            <w:gridSpan w:val="3"/>
          </w:tcPr>
          <w:p>
            <w:pPr>
              <w:spacing w:after="0"/>
              <w:rPr>
                <w:rFonts w:ascii="Arial" w:cs="Arial" w:eastAsia="Arial" w:hAnsi="Arial"/>
                <w:sz w:val="18"/>
                <w:szCs w:val="18"/>
                <w:color w:val="0000FF"/>
              </w:rPr>
            </w:pPr>
            <w:hyperlink r:id="rId133">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r>
              <w:rPr>
                <w:rFonts w:ascii="Arial" w:cs="Arial" w:eastAsia="Arial" w:hAnsi="Arial"/>
                <w:sz w:val="18"/>
                <w:szCs w:val="18"/>
                <w:color w:val="000000"/>
              </w:rPr>
              <w:t>*</w:t>
            </w:r>
          </w:p>
        </w:tc>
        <w:tc>
          <w:tcPr>
            <w:tcW w:w="9900" w:type="dxa"/>
            <w:vAlign w:val="bottom"/>
            <w:gridSpan w:val="8"/>
          </w:tcPr>
          <w:p>
            <w:pPr>
              <w:spacing w:after="0"/>
              <w:rPr>
                <w:sz w:val="20"/>
                <w:szCs w:val="20"/>
                <w:color w:val="auto"/>
              </w:rPr>
            </w:pPr>
            <w:r>
              <w:rPr>
                <w:rFonts w:ascii="Arial" w:cs="Arial" w:eastAsia="Arial" w:hAnsi="Arial"/>
                <w:sz w:val="18"/>
                <w:szCs w:val="18"/>
                <w:color w:val="auto"/>
              </w:rPr>
              <w:t>Gibraltar Industries, Inc. Amended and Restated 2016 Stock Plan for Non-Employee Directors (incorporated by reference to</w:t>
            </w:r>
          </w:p>
        </w:tc>
      </w:tr>
      <w:tr>
        <w:trPr>
          <w:trHeight w:val="254"/>
        </w:trPr>
        <w:tc>
          <w:tcPr>
            <w:tcW w:w="2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Exhibit 10.1 to the Company's Current Report on Form 8-K filed May 5, 2022)</w:t>
            </w:r>
          </w:p>
        </w:tc>
      </w:tr>
      <w:tr>
        <w:trPr>
          <w:trHeight w:val="266"/>
        </w:trPr>
        <w:tc>
          <w:tcPr>
            <w:tcW w:w="1260" w:type="dxa"/>
            <w:vAlign w:val="bottom"/>
            <w:gridSpan w:val="3"/>
          </w:tcPr>
          <w:p>
            <w:pPr>
              <w:spacing w:after="0"/>
              <w:rPr>
                <w:rFonts w:ascii="Arial" w:cs="Arial" w:eastAsia="Arial" w:hAnsi="Arial"/>
                <w:sz w:val="18"/>
                <w:szCs w:val="18"/>
                <w:color w:val="0000FF"/>
              </w:rPr>
            </w:pPr>
            <w:hyperlink r:id="rId134">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r>
              <w:rPr>
                <w:rFonts w:ascii="Arial" w:cs="Arial" w:eastAsia="Arial" w:hAnsi="Arial"/>
                <w:sz w:val="18"/>
                <w:szCs w:val="18"/>
                <w:color w:val="000000"/>
              </w:rPr>
              <w:t>*</w:t>
            </w:r>
          </w:p>
        </w:tc>
        <w:tc>
          <w:tcPr>
            <w:tcW w:w="9900" w:type="dxa"/>
            <w:vAlign w:val="bottom"/>
            <w:gridSpan w:val="8"/>
          </w:tcPr>
          <w:p>
            <w:pPr>
              <w:spacing w:after="0"/>
              <w:rPr>
                <w:sz w:val="20"/>
                <w:szCs w:val="20"/>
                <w:color w:val="auto"/>
              </w:rPr>
            </w:pPr>
            <w:r>
              <w:rPr>
                <w:rFonts w:ascii="Arial" w:cs="Arial" w:eastAsia="Arial" w:hAnsi="Arial"/>
                <w:sz w:val="18"/>
                <w:szCs w:val="18"/>
                <w:color w:val="auto"/>
              </w:rPr>
              <w:t>Gibraltar Industries, Inc. Amended and Restated 2016 Stock Plan for Non-Employee Directors Form of Award of Common</w:t>
            </w:r>
          </w:p>
        </w:tc>
      </w:tr>
      <w:tr>
        <w:trPr>
          <w:trHeight w:val="254"/>
        </w:trPr>
        <w:tc>
          <w:tcPr>
            <w:tcW w:w="2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Stock (incorporated by reference to Exhibit 10.2 to the Company's Current Report on Form 8-K filed May 5, 2022)</w:t>
            </w:r>
          </w:p>
        </w:tc>
      </w:tr>
      <w:tr>
        <w:trPr>
          <w:trHeight w:val="266"/>
        </w:trPr>
        <w:tc>
          <w:tcPr>
            <w:tcW w:w="1260" w:type="dxa"/>
            <w:vAlign w:val="bottom"/>
            <w:gridSpan w:val="3"/>
          </w:tcPr>
          <w:p>
            <w:pPr>
              <w:spacing w:after="0"/>
              <w:rPr>
                <w:rFonts w:ascii="Arial" w:cs="Arial" w:eastAsia="Arial" w:hAnsi="Arial"/>
                <w:sz w:val="18"/>
                <w:szCs w:val="18"/>
                <w:color w:val="0000FF"/>
              </w:rPr>
            </w:pPr>
            <w:hyperlink r:id="rId135">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r>
              <w:rPr>
                <w:rFonts w:ascii="Arial" w:cs="Arial" w:eastAsia="Arial" w:hAnsi="Arial"/>
                <w:sz w:val="18"/>
                <w:szCs w:val="18"/>
                <w:color w:val="000000"/>
              </w:rPr>
              <w:t>*</w:t>
            </w:r>
          </w:p>
        </w:tc>
        <w:tc>
          <w:tcPr>
            <w:tcW w:w="9900" w:type="dxa"/>
            <w:vAlign w:val="bottom"/>
            <w:gridSpan w:val="8"/>
          </w:tcPr>
          <w:p>
            <w:pPr>
              <w:spacing w:after="0"/>
              <w:rPr>
                <w:sz w:val="20"/>
                <w:szCs w:val="20"/>
                <w:color w:val="auto"/>
              </w:rPr>
            </w:pPr>
            <w:r>
              <w:rPr>
                <w:rFonts w:ascii="Arial" w:cs="Arial" w:eastAsia="Arial" w:hAnsi="Arial"/>
                <w:sz w:val="18"/>
                <w:szCs w:val="18"/>
                <w:color w:val="auto"/>
              </w:rPr>
              <w:t>Gibraltar Industries, Inc. Non-Employee Director Stock Deferral Plan (incorporated by reference to Exhibit 10.2 to the</w:t>
            </w:r>
          </w:p>
        </w:tc>
      </w:tr>
      <w:tr>
        <w:trPr>
          <w:trHeight w:val="254"/>
        </w:trPr>
        <w:tc>
          <w:tcPr>
            <w:tcW w:w="2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20" w:type="dxa"/>
            <w:vAlign w:val="bottom"/>
          </w:tcPr>
          <w:p>
            <w:pPr>
              <w:spacing w:after="0"/>
              <w:rPr>
                <w:sz w:val="22"/>
                <w:szCs w:val="22"/>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Company's Current Report on Form 8-K filed May 10, 2016)</w:t>
            </w:r>
          </w:p>
        </w:tc>
      </w:tr>
      <w:tr>
        <w:trPr>
          <w:trHeight w:val="266"/>
        </w:trPr>
        <w:tc>
          <w:tcPr>
            <w:tcW w:w="1260" w:type="dxa"/>
            <w:vAlign w:val="bottom"/>
            <w:gridSpan w:val="3"/>
          </w:tcPr>
          <w:p>
            <w:pPr>
              <w:spacing w:after="0"/>
              <w:rPr>
                <w:rFonts w:ascii="Arial" w:cs="Arial" w:eastAsia="Arial" w:hAnsi="Arial"/>
                <w:sz w:val="18"/>
                <w:szCs w:val="18"/>
                <w:color w:val="0000FF"/>
              </w:rPr>
            </w:pPr>
            <w:hyperlink r:id="rId136">
              <w:r>
                <w:rPr>
                  <w:rFonts w:ascii="Arial" w:cs="Arial" w:eastAsia="Arial" w:hAnsi="Arial"/>
                  <w:sz w:val="18"/>
                  <w:szCs w:val="18"/>
                  <w:color w:val="0000FF"/>
                </w:rPr>
                <w:t>10.</w:t>
              </w:r>
            </w:hyperlink>
            <w:r>
              <w:rPr>
                <w:rFonts w:ascii="Arial" w:cs="Arial" w:eastAsia="Arial" w:hAnsi="Arial"/>
                <w:sz w:val="18"/>
                <w:szCs w:val="18"/>
                <w:u w:val="single" w:color="auto"/>
                <w:color w:val="0000FF"/>
              </w:rPr>
              <w:t>20</w:t>
            </w:r>
            <w:r>
              <w:rPr>
                <w:rFonts w:ascii="Arial" w:cs="Arial" w:eastAsia="Arial" w:hAnsi="Arial"/>
                <w:sz w:val="18"/>
                <w:szCs w:val="18"/>
                <w:color w:val="000000"/>
              </w:rPr>
              <w:t>*</w:t>
            </w:r>
          </w:p>
        </w:tc>
        <w:tc>
          <w:tcPr>
            <w:tcW w:w="9900" w:type="dxa"/>
            <w:vAlign w:val="bottom"/>
            <w:gridSpan w:val="8"/>
          </w:tcPr>
          <w:p>
            <w:pPr>
              <w:spacing w:after="0"/>
              <w:rPr>
                <w:sz w:val="20"/>
                <w:szCs w:val="20"/>
                <w:color w:val="auto"/>
              </w:rPr>
            </w:pPr>
            <w:r>
              <w:rPr>
                <w:rFonts w:ascii="Arial" w:cs="Arial" w:eastAsia="Arial" w:hAnsi="Arial"/>
                <w:sz w:val="18"/>
                <w:szCs w:val="18"/>
                <w:color w:val="auto"/>
              </w:rPr>
              <w:t>Gibraltar Industries, Inc. 2018 Equity Incentive Plan Form of Award of Performance Units dated May 4, 2018 (incorporated</w:t>
            </w:r>
          </w:p>
        </w:tc>
      </w:tr>
      <w:tr>
        <w:trPr>
          <w:trHeight w:val="231"/>
        </w:trPr>
        <w:tc>
          <w:tcPr>
            <w:tcW w:w="2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by reference to Exhibit 10.22 to the Company's Annual Report on Form 10-K for the year ended December 31, 2018 filed</w:t>
            </w:r>
          </w:p>
        </w:tc>
      </w:tr>
      <w:tr>
        <w:trPr>
          <w:trHeight w:val="239"/>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00" w:type="dxa"/>
            <w:vAlign w:val="bottom"/>
            <w:gridSpan w:val="8"/>
          </w:tcPr>
          <w:p>
            <w:pPr>
              <w:spacing w:after="0"/>
              <w:rPr>
                <w:sz w:val="20"/>
                <w:szCs w:val="20"/>
                <w:color w:val="auto"/>
              </w:rPr>
            </w:pPr>
            <w:r>
              <w:rPr>
                <w:rFonts w:ascii="Arial" w:cs="Arial" w:eastAsia="Arial" w:hAnsi="Arial"/>
                <w:sz w:val="18"/>
                <w:szCs w:val="18"/>
                <w:color w:val="auto"/>
              </w:rPr>
              <w:t>February 27, 2019)</w:t>
            </w:r>
          </w:p>
        </w:tc>
      </w:tr>
    </w:tbl>
    <w:p>
      <w:pPr>
        <w:spacing w:after="0" w:line="72" w:lineRule="exact"/>
        <w:rPr>
          <w:sz w:val="20"/>
          <w:szCs w:val="20"/>
          <w:color w:val="auto"/>
        </w:rPr>
      </w:pPr>
    </w:p>
    <w:p>
      <w:pPr>
        <w:sectPr>
          <w:pgSz w:w="11900" w:h="16838" w:orient="portrait"/>
          <w:cols w:equalWidth="0" w:num="1">
            <w:col w:w="11200"/>
          </w:cols>
          <w:pgMar w:left="320" w:top="122" w:right="379" w:bottom="1440" w:gutter="0" w:footer="0" w:header="0"/>
        </w:sectPr>
      </w:pPr>
    </w:p>
    <w:p>
      <w:pPr>
        <w:ind w:left="40"/>
        <w:spacing w:after="0"/>
        <w:rPr>
          <w:rFonts w:ascii="Arial" w:cs="Arial" w:eastAsia="Arial" w:hAnsi="Arial"/>
          <w:sz w:val="17"/>
          <w:szCs w:val="17"/>
          <w:color w:val="0000FF"/>
        </w:rPr>
      </w:pPr>
      <w:hyperlink r:id="rId137">
        <w:r>
          <w:rPr>
            <w:rFonts w:ascii="Arial" w:cs="Arial" w:eastAsia="Arial" w:hAnsi="Arial"/>
            <w:sz w:val="17"/>
            <w:szCs w:val="17"/>
            <w:u w:val="single" w:color="auto"/>
            <w:color w:val="0000FF"/>
          </w:rPr>
          <w:t>10.21</w:t>
        </w:r>
      </w:hyperlink>
      <w:r>
        <w:rPr>
          <w:rFonts w:ascii="Arial" w:cs="Arial" w:eastAsia="Arial" w:hAnsi="Arial"/>
          <w:sz w:val="17"/>
          <w:szCs w:val="17"/>
          <w:color w:val="000000"/>
        </w:rPr>
        <w:t>*</w:t>
      </w:r>
    </w:p>
    <w:p>
      <w:pPr>
        <w:spacing w:after="0" w:line="200" w:lineRule="exact"/>
        <w:rPr>
          <w:sz w:val="20"/>
          <w:szCs w:val="20"/>
          <w:color w:val="auto"/>
        </w:rPr>
      </w:pPr>
    </w:p>
    <w:p>
      <w:pPr>
        <w:spacing w:after="0" w:line="361" w:lineRule="exact"/>
        <w:rPr>
          <w:sz w:val="20"/>
          <w:szCs w:val="20"/>
          <w:color w:val="auto"/>
        </w:rPr>
      </w:pPr>
    </w:p>
    <w:p>
      <w:pPr>
        <w:ind w:left="40"/>
        <w:spacing w:after="0"/>
        <w:rPr>
          <w:rFonts w:ascii="Arial" w:cs="Arial" w:eastAsia="Arial" w:hAnsi="Arial"/>
          <w:sz w:val="17"/>
          <w:szCs w:val="17"/>
          <w:color w:val="0000FF"/>
        </w:rPr>
      </w:pPr>
      <w:hyperlink r:id="rId138">
        <w:r>
          <w:rPr>
            <w:rFonts w:ascii="Arial" w:cs="Arial" w:eastAsia="Arial" w:hAnsi="Arial"/>
            <w:sz w:val="17"/>
            <w:szCs w:val="17"/>
            <w:u w:val="single" w:color="auto"/>
            <w:color w:val="0000FF"/>
          </w:rPr>
          <w:t>10.22</w:t>
        </w:r>
      </w:hyperlink>
      <w:r>
        <w:rPr>
          <w:rFonts w:ascii="Arial" w:cs="Arial" w:eastAsia="Arial" w:hAnsi="Arial"/>
          <w:sz w:val="17"/>
          <w:szCs w:val="17"/>
          <w:color w:val="000000"/>
        </w:rPr>
        <w:t>*</w:t>
      </w:r>
    </w:p>
    <w:p>
      <w:pPr>
        <w:spacing w:after="0" w:line="200" w:lineRule="exact"/>
        <w:rPr>
          <w:sz w:val="20"/>
          <w:szCs w:val="20"/>
          <w:color w:val="auto"/>
        </w:rPr>
      </w:pPr>
    </w:p>
    <w:p>
      <w:pPr>
        <w:spacing w:after="0" w:line="361" w:lineRule="exact"/>
        <w:rPr>
          <w:sz w:val="20"/>
          <w:szCs w:val="20"/>
          <w:color w:val="auto"/>
        </w:rPr>
      </w:pPr>
    </w:p>
    <w:p>
      <w:pPr>
        <w:ind w:left="40"/>
        <w:spacing w:after="0"/>
        <w:rPr>
          <w:rFonts w:ascii="Arial" w:cs="Arial" w:eastAsia="Arial" w:hAnsi="Arial"/>
          <w:sz w:val="17"/>
          <w:szCs w:val="17"/>
          <w:color w:val="0000FF"/>
        </w:rPr>
      </w:pPr>
      <w:hyperlink r:id="rId139">
        <w:r>
          <w:rPr>
            <w:rFonts w:ascii="Arial" w:cs="Arial" w:eastAsia="Arial" w:hAnsi="Arial"/>
            <w:sz w:val="17"/>
            <w:szCs w:val="17"/>
            <w:u w:val="single" w:color="auto"/>
            <w:color w:val="0000FF"/>
          </w:rPr>
          <w:t>10.23</w:t>
        </w:r>
      </w:hyperlink>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8"/>
          <w:szCs w:val="18"/>
          <w:color w:val="auto"/>
        </w:rPr>
        <w:t>Gibraltar Industries, Inc. 2018 Equity Incentive Plan Form of Award of Restricted Units dated May 4, 2018 (incorporated by reference to Exhibit 10.23 to the Company's Annual Report on Form 10-K for the year ended December 31, 2018 filed February 27, 2019)</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Form of Award of Performance Units under the Gibraltar Industries, Inc. Amended and Restated 2018 Equity Incentive Plan (incorporated by reference to Exhibit 10.3 to the Company's Quarterly Report on Form 10-Q for the quarterly period ended June 30, 2023 filed August 2, 2023)</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Form of Award of Restricted Units (Executive) under the Gibraltar Industries, Inc. Amended and Restated 2018 Equity Incentive Plan (incorporated by reference to Exhibit 10.1 to the Company's Quarterly Report on Form 10-Q for the quarterly period ended September 30, 2023 filed November 2, 2023)</w:t>
      </w:r>
    </w:p>
    <w:p>
      <w:pPr>
        <w:spacing w:after="0" w:line="200" w:lineRule="exact"/>
        <w:rPr>
          <w:sz w:val="20"/>
          <w:szCs w:val="20"/>
          <w:color w:val="auto"/>
        </w:rPr>
      </w:pPr>
    </w:p>
    <w:p>
      <w:pPr>
        <w:sectPr>
          <w:pgSz w:w="11900" w:h="16838" w:orient="portrait"/>
          <w:cols w:equalWidth="0" w:num="2">
            <w:col w:w="580" w:space="720"/>
            <w:col w:w="9900"/>
          </w:cols>
          <w:pgMar w:left="320" w:top="122" w:right="37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w:t>
      </w:r>
    </w:p>
    <w:p>
      <w:pPr>
        <w:spacing w:after="0" w:line="77" w:lineRule="exact"/>
        <w:rPr>
          <w:sz w:val="20"/>
          <w:szCs w:val="20"/>
          <w:color w:val="auto"/>
        </w:rPr>
      </w:pPr>
    </w:p>
    <w:p>
      <w:pPr>
        <w:ind w:left="40"/>
        <w:spacing w:after="0"/>
        <w:rPr>
          <w:rFonts w:ascii="Arial" w:cs="Arial" w:eastAsia="Arial" w:hAnsi="Arial"/>
          <w:sz w:val="17"/>
          <w:szCs w:val="17"/>
          <w:color w:val="0000FF"/>
        </w:rPr>
      </w:pPr>
      <w:hyperlink r:id="rId141">
        <w:r>
          <w:rPr>
            <w:rFonts w:ascii="Arial" w:cs="Arial" w:eastAsia="Arial" w:hAnsi="Arial"/>
            <w:sz w:val="17"/>
            <w:szCs w:val="17"/>
            <w:u w:val="single" w:color="auto"/>
            <w:color w:val="0000FF"/>
          </w:rPr>
          <w:t>10.24</w:t>
        </w:r>
      </w:hyperlink>
      <w:r>
        <w:rPr>
          <w:rFonts w:ascii="Arial" w:cs="Arial" w:eastAsia="Arial" w:hAnsi="Arial"/>
          <w:sz w:val="17"/>
          <w:szCs w:val="17"/>
          <w:color w:val="000000"/>
        </w:rPr>
        <w:t>*</w:t>
      </w:r>
    </w:p>
    <w:p>
      <w:pPr>
        <w:spacing w:after="0" w:line="200" w:lineRule="exact"/>
        <w:rPr>
          <w:sz w:val="20"/>
          <w:szCs w:val="20"/>
          <w:color w:val="auto"/>
        </w:rPr>
      </w:pPr>
    </w:p>
    <w:p>
      <w:pPr>
        <w:spacing w:after="0" w:line="361" w:lineRule="exact"/>
        <w:rPr>
          <w:sz w:val="20"/>
          <w:szCs w:val="20"/>
          <w:color w:val="auto"/>
        </w:rPr>
      </w:pPr>
    </w:p>
    <w:p>
      <w:pPr>
        <w:ind w:left="40"/>
        <w:spacing w:after="0"/>
        <w:rPr>
          <w:rFonts w:ascii="Arial" w:cs="Arial" w:eastAsia="Arial" w:hAnsi="Arial"/>
          <w:sz w:val="17"/>
          <w:szCs w:val="17"/>
          <w:color w:val="0000FF"/>
        </w:rPr>
      </w:pPr>
      <w:hyperlink r:id="rId142">
        <w:r>
          <w:rPr>
            <w:rFonts w:ascii="Arial" w:cs="Arial" w:eastAsia="Arial" w:hAnsi="Arial"/>
            <w:sz w:val="17"/>
            <w:szCs w:val="17"/>
            <w:u w:val="single" w:color="auto"/>
            <w:color w:val="0000FF"/>
          </w:rPr>
          <w:t>10.25</w:t>
        </w:r>
      </w:hyperlink>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Form of Award of Restricted Units (Management) under the Gibraltar Industries, Inc. Amended and Restated 2018 Equity Incentive Plan (incorporated by reference to Exhibit 10.2 to the Company's Quarterly Report on Form 10-Q for the quarterly period ended September 30, 2023 filed November 2, 2023)</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Form of Award of Restricted Units (CEO Discretionary) under the Gibraltar Industries, Inc. Amended and Restated 2018 Equity Incentive Plan (incorporated by reference to Exhibit 10.3 to the Company's Quarterly Report on Form 10-Q for the quarterly period ended September 30, 2023 filed November 2, 2023)</w:t>
      </w:r>
    </w:p>
    <w:p>
      <w:pPr>
        <w:spacing w:after="0" w:line="16" w:lineRule="exact"/>
        <w:rPr>
          <w:sz w:val="20"/>
          <w:szCs w:val="20"/>
          <w:color w:val="auto"/>
        </w:rPr>
      </w:pPr>
    </w:p>
    <w:p>
      <w:pPr>
        <w:sectPr>
          <w:pgSz w:w="11900" w:h="16838" w:orient="portrait"/>
          <w:cols w:equalWidth="0" w:num="2">
            <w:col w:w="580" w:space="720"/>
            <w:col w:w="9900"/>
          </w:cols>
          <w:pgMar w:left="320" w:top="122" w:right="379" w:bottom="1440" w:gutter="0" w:footer="0" w:header="0"/>
          <w:type w:val="continuous"/>
        </w:sectPr>
      </w:pPr>
    </w:p>
    <w:tbl>
      <w:tblPr>
        <w:tblLayout w:type="fixed"/>
        <w:tblInd w:w="40" w:type="dxa"/>
        <w:tblCellMar>
          <w:top w:w="0" w:type="dxa"/>
          <w:left w:w="0" w:type="dxa"/>
          <w:bottom w:w="0" w:type="dxa"/>
          <w:right w:w="0" w:type="dxa"/>
        </w:tblCellMar>
      </w:tblPr>
      <w:tr>
        <w:trPr>
          <w:trHeight w:val="227"/>
        </w:trPr>
        <w:tc>
          <w:tcPr>
            <w:tcW w:w="3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p>
        </w:tc>
        <w:tc>
          <w:tcPr>
            <w:tcW w:w="580" w:type="dxa"/>
            <w:vAlign w:val="bottom"/>
          </w:tcPr>
          <w:p>
            <w:pPr>
              <w:spacing w:after="0"/>
              <w:rPr>
                <w:sz w:val="19"/>
                <w:szCs w:val="19"/>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Subsidiaries of the Registrant</w:t>
            </w:r>
          </w:p>
        </w:tc>
      </w:tr>
      <w:tr>
        <w:trPr>
          <w:trHeight w:val="304"/>
        </w:trPr>
        <w:tc>
          <w:tcPr>
            <w:tcW w:w="3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p>
        </w:tc>
        <w:tc>
          <w:tcPr>
            <w:tcW w:w="580" w:type="dxa"/>
            <w:vAlign w:val="bottom"/>
          </w:tcPr>
          <w:p>
            <w:pPr>
              <w:spacing w:after="0"/>
              <w:rPr>
                <w:sz w:val="24"/>
                <w:szCs w:val="24"/>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04"/>
        </w:trPr>
        <w:tc>
          <w:tcPr>
            <w:tcW w:w="3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p>
        </w:tc>
        <w:tc>
          <w:tcPr>
            <w:tcW w:w="580" w:type="dxa"/>
            <w:vAlign w:val="bottom"/>
          </w:tcPr>
          <w:p>
            <w:pPr>
              <w:spacing w:after="0"/>
              <w:rPr>
                <w:sz w:val="24"/>
                <w:szCs w:val="24"/>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Certification of President and Chief Executive Officer pursuant to Section 302 of the Sarbanes-Oxley Act of 2002</w:t>
            </w:r>
          </w:p>
        </w:tc>
      </w:tr>
      <w:tr>
        <w:trPr>
          <w:trHeight w:val="304"/>
        </w:trPr>
        <w:tc>
          <w:tcPr>
            <w:tcW w:w="3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p>
        </w:tc>
        <w:tc>
          <w:tcPr>
            <w:tcW w:w="580" w:type="dxa"/>
            <w:vAlign w:val="bottom"/>
          </w:tcPr>
          <w:p>
            <w:pPr>
              <w:spacing w:after="0"/>
              <w:rPr>
                <w:sz w:val="24"/>
                <w:szCs w:val="24"/>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Certification of Senior Vice President and Chief Financial Officer pursuant to Section 302 of the Sarbanes-Oxley Act of 2002</w:t>
            </w: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10240" w:type="dxa"/>
            <w:vAlign w:val="bottom"/>
          </w:tcPr>
          <w:p>
            <w:pPr>
              <w:ind w:left="340"/>
              <w:spacing w:after="0"/>
              <w:rPr>
                <w:sz w:val="20"/>
                <w:szCs w:val="20"/>
                <w:color w:val="auto"/>
              </w:rPr>
            </w:pPr>
            <w:r>
              <w:rPr>
                <w:rFonts w:ascii="Arial" w:cs="Arial" w:eastAsia="Arial" w:hAnsi="Arial"/>
                <w:sz w:val="18"/>
                <w:szCs w:val="18"/>
                <w:color w:val="auto"/>
              </w:rPr>
              <w:t>Certification of President and Chief Executive Officer pursuant to Title 18, United States Code, Section 1350, as adopted</w:t>
            </w:r>
          </w:p>
        </w:tc>
      </w:tr>
      <w:tr>
        <w:trPr>
          <w:trHeight w:val="254"/>
        </w:trPr>
        <w:tc>
          <w:tcPr>
            <w:tcW w:w="340" w:type="dxa"/>
            <w:vAlign w:val="bottom"/>
            <w:tcBorders>
              <w:top w:val="single" w:sz="8" w:color="0000FF"/>
            </w:tcBorders>
          </w:tcPr>
          <w:p>
            <w:pPr>
              <w:spacing w:after="0"/>
              <w:rPr>
                <w:sz w:val="22"/>
                <w:szCs w:val="22"/>
                <w:color w:val="auto"/>
              </w:rPr>
            </w:pPr>
          </w:p>
        </w:tc>
        <w:tc>
          <w:tcPr>
            <w:tcW w:w="580" w:type="dxa"/>
            <w:vAlign w:val="bottom"/>
          </w:tcPr>
          <w:p>
            <w:pPr>
              <w:spacing w:after="0"/>
              <w:rPr>
                <w:sz w:val="22"/>
                <w:szCs w:val="22"/>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66"/>
        </w:trPr>
        <w:tc>
          <w:tcPr>
            <w:tcW w:w="920" w:type="dxa"/>
            <w:vAlign w:val="bottom"/>
            <w:gridSpan w:val="2"/>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10240" w:type="dxa"/>
            <w:vAlign w:val="bottom"/>
          </w:tcPr>
          <w:p>
            <w:pPr>
              <w:ind w:left="340"/>
              <w:spacing w:after="0"/>
              <w:rPr>
                <w:sz w:val="20"/>
                <w:szCs w:val="20"/>
                <w:color w:val="auto"/>
              </w:rPr>
            </w:pPr>
            <w:r>
              <w:rPr>
                <w:rFonts w:ascii="Arial" w:cs="Arial" w:eastAsia="Arial" w:hAnsi="Arial"/>
                <w:sz w:val="18"/>
                <w:szCs w:val="18"/>
                <w:color w:val="auto"/>
              </w:rPr>
              <w:t>Certification of Senior Vice President and Chief Financial Officer pursuant to Title 18, United States Code, Section 1350, as</w:t>
            </w:r>
          </w:p>
        </w:tc>
      </w:tr>
      <w:tr>
        <w:trPr>
          <w:trHeight w:val="254"/>
        </w:trPr>
        <w:tc>
          <w:tcPr>
            <w:tcW w:w="340" w:type="dxa"/>
            <w:vAlign w:val="bottom"/>
            <w:tcBorders>
              <w:top w:val="single" w:sz="8" w:color="0000FF"/>
            </w:tcBorders>
          </w:tcPr>
          <w:p>
            <w:pPr>
              <w:spacing w:after="0"/>
              <w:rPr>
                <w:sz w:val="22"/>
                <w:szCs w:val="22"/>
                <w:color w:val="auto"/>
              </w:rPr>
            </w:pPr>
          </w:p>
        </w:tc>
        <w:tc>
          <w:tcPr>
            <w:tcW w:w="580" w:type="dxa"/>
            <w:vAlign w:val="bottom"/>
          </w:tcPr>
          <w:p>
            <w:pPr>
              <w:spacing w:after="0"/>
              <w:rPr>
                <w:sz w:val="22"/>
                <w:szCs w:val="22"/>
                <w:color w:val="auto"/>
              </w:rPr>
            </w:pPr>
          </w:p>
        </w:tc>
        <w:tc>
          <w:tcPr>
            <w:tcW w:w="10240" w:type="dxa"/>
            <w:vAlign w:val="bottom"/>
          </w:tcPr>
          <w:p>
            <w:pPr>
              <w:ind w:left="340"/>
              <w:spacing w:after="0"/>
              <w:rPr>
                <w:sz w:val="20"/>
                <w:szCs w:val="20"/>
                <w:color w:val="auto"/>
              </w:rPr>
            </w:pPr>
            <w:r>
              <w:rPr>
                <w:rFonts w:ascii="Arial" w:cs="Arial" w:eastAsia="Arial" w:hAnsi="Arial"/>
                <w:sz w:val="18"/>
                <w:szCs w:val="18"/>
                <w:color w:val="auto"/>
              </w:rPr>
              <w:t>adopted pursuant to Section 906 of the Sarbanes-Oxley Act of 2002</w:t>
            </w:r>
          </w:p>
        </w:tc>
      </w:tr>
    </w:tbl>
    <w:p>
      <w:pPr>
        <w:spacing w:after="0" w:line="72" w:lineRule="exact"/>
        <w:rPr>
          <w:sz w:val="20"/>
          <w:szCs w:val="20"/>
          <w:color w:val="auto"/>
        </w:rPr>
      </w:pPr>
    </w:p>
    <w:p>
      <w:pPr>
        <w:sectPr>
          <w:pgSz w:w="11900" w:h="16838" w:orient="portrait"/>
          <w:cols w:equalWidth="0" w:num="1">
            <w:col w:w="11200"/>
          </w:cols>
          <w:pgMar w:left="320" w:top="122" w:right="379" w:bottom="1440" w:gutter="0" w:footer="0" w:header="0"/>
          <w:type w:val="continuous"/>
        </w:sectPr>
      </w:pPr>
    </w:p>
    <w:p>
      <w:pPr>
        <w:ind w:left="40"/>
        <w:spacing w:after="0"/>
        <w:rPr>
          <w:sz w:val="20"/>
          <w:szCs w:val="20"/>
          <w:color w:val="auto"/>
        </w:rPr>
      </w:pPr>
      <w:r>
        <w:rPr>
          <w:rFonts w:ascii="Arial" w:cs="Arial" w:eastAsia="Arial" w:hAnsi="Arial"/>
          <w:sz w:val="18"/>
          <w:szCs w:val="18"/>
          <w:u w:val="single" w:color="auto"/>
          <w:color w:val="0000FF"/>
        </w:rPr>
        <w:t>97</w:t>
      </w:r>
      <w:r>
        <w:rPr>
          <w:rFonts w:ascii="Arial" w:cs="Arial" w:eastAsia="Arial" w:hAnsi="Arial"/>
          <w:sz w:val="18"/>
          <w:szCs w:val="18"/>
          <w:color w:val="000000"/>
        </w:rPr>
        <w: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88" w:lineRule="exact"/>
        <w:rPr>
          <w:sz w:val="20"/>
          <w:szCs w:val="20"/>
          <w:color w:val="auto"/>
        </w:rPr>
      </w:pPr>
    </w:p>
    <w:p>
      <w:pPr>
        <w:ind w:left="40" w:right="20"/>
        <w:spacing w:after="0" w:line="451" w:lineRule="auto"/>
        <w:rPr>
          <w:sz w:val="20"/>
          <w:szCs w:val="20"/>
          <w:color w:val="auto"/>
        </w:rPr>
      </w:pPr>
      <w:r>
        <w:rPr>
          <w:rFonts w:ascii="Arial" w:cs="Arial" w:eastAsia="Arial" w:hAnsi="Arial"/>
          <w:sz w:val="17"/>
          <w:szCs w:val="17"/>
          <w:color w:val="auto"/>
        </w:rPr>
        <w:t>101.DEF** 104**</w:t>
      </w:r>
    </w:p>
    <w:p>
      <w:pPr>
        <w:spacing w:after="0" w:line="20" w:lineRule="exact"/>
        <w:rPr>
          <w:sz w:val="20"/>
          <w:szCs w:val="20"/>
          <w:color w:val="auto"/>
        </w:rPr>
      </w:pPr>
      <w:r>
        <w:rPr>
          <w:sz w:val="20"/>
          <w:szCs w:val="20"/>
          <w:color w:val="auto"/>
        </w:rPr>
        <w:br w:type="column"/>
      </w:r>
    </w:p>
    <w:p>
      <w:pPr>
        <w:ind w:right="2900"/>
        <w:spacing w:after="0" w:line="375" w:lineRule="auto"/>
        <w:rPr>
          <w:sz w:val="20"/>
          <w:szCs w:val="20"/>
          <w:color w:val="auto"/>
        </w:rPr>
      </w:pPr>
      <w:r>
        <w:rPr>
          <w:rFonts w:ascii="Arial" w:cs="Arial" w:eastAsia="Arial" w:hAnsi="Arial"/>
          <w:sz w:val="18"/>
          <w:szCs w:val="18"/>
          <w:color w:val="auto"/>
        </w:rPr>
        <w:t>Gibraltar Industries, Inc. Policy for the Recovery of Erroneously Awarded Compensation Inline XBRL Instance Document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 **</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213360</wp:posOffset>
            </wp:positionV>
            <wp:extent cx="71151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900" w:space="400"/>
            <w:col w:w="9900"/>
          </w:cols>
          <w:pgMar w:left="320" w:top="122" w:right="379" w:bottom="1440" w:gutter="0" w:footer="0" w:header="0"/>
          <w:type w:val="continuous"/>
        </w:sectPr>
      </w:pPr>
    </w:p>
    <w:p>
      <w:pPr>
        <w:jc w:val="both"/>
        <w:ind w:left="1300" w:hanging="342"/>
        <w:spacing w:after="0" w:line="26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Schedules and exhibits to this agreement have been omitted pursuant to Item 601(a)(5) of Regulation S-K. The Company agrees to furnish any omitted schedules or exhibits upon the request of the Securities and Exchange Commission. A list of the omitted schedules and exhibits to this agreement is set forth in the agreement.</w:t>
      </w:r>
    </w:p>
    <w:p>
      <w:pPr>
        <w:spacing w:after="0" w:line="14" w:lineRule="exact"/>
        <w:rPr>
          <w:sz w:val="20"/>
          <w:szCs w:val="20"/>
          <w:color w:val="auto"/>
        </w:rPr>
      </w:pPr>
    </w:p>
    <w:p>
      <w:pPr>
        <w:ind w:left="1040" w:right="4000" w:firstLine="68"/>
        <w:spacing w:after="0" w:line="305" w:lineRule="auto"/>
        <w:tabs>
          <w:tab w:leader="none" w:pos="13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Document is a management contract or compensatory plan or agreement. ** Submitted electronically with this Annual Report on Form 10-K.</w:t>
      </w:r>
    </w:p>
    <w:p>
      <w:pPr>
        <w:ind w:left="960"/>
        <w:spacing w:after="0"/>
        <w:rPr>
          <w:sz w:val="20"/>
          <w:szCs w:val="20"/>
          <w:color w:val="auto"/>
        </w:rPr>
      </w:pPr>
      <w:r>
        <w:rPr>
          <w:rFonts w:ascii="Arial" w:cs="Arial" w:eastAsia="Arial" w:hAnsi="Arial"/>
          <w:sz w:val="18"/>
          <w:szCs w:val="18"/>
          <w:color w:val="auto"/>
        </w:rPr>
        <w:t>***  Documents are furnished not filed.</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16.</w:t>
      </w:r>
      <w:r>
        <w:rPr>
          <w:sz w:val="20"/>
          <w:szCs w:val="20"/>
          <w:color w:val="auto"/>
        </w:rPr>
        <w:tab/>
      </w:r>
      <w:r>
        <w:rPr>
          <w:rFonts w:ascii="Arial" w:cs="Arial" w:eastAsia="Arial" w:hAnsi="Arial"/>
          <w:sz w:val="17"/>
          <w:szCs w:val="17"/>
          <w:b w:val="1"/>
          <w:bCs w:val="1"/>
          <w:i w:val="1"/>
          <w:iCs w:val="1"/>
          <w:u w:val="single" w:color="auto"/>
          <w:color w:val="auto"/>
        </w:rPr>
        <w:t>Form 10-K Summary</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GIBRALTAR INDUSTRIES, INC.</w:t>
      </w:r>
    </w:p>
    <w:p>
      <w:pPr>
        <w:spacing w:after="0" w:line="32" w:lineRule="exact"/>
        <w:rPr>
          <w:sz w:val="20"/>
          <w:szCs w:val="20"/>
          <w:color w:val="auto"/>
        </w:rPr>
      </w:pPr>
    </w:p>
    <w:p>
      <w:pPr>
        <w:ind w:left="6380"/>
        <w:spacing w:after="0"/>
        <w:tabs>
          <w:tab w:leader="none" w:pos="6860" w:val="left"/>
        </w:tabs>
        <w:rPr>
          <w:sz w:val="20"/>
          <w:szCs w:val="20"/>
          <w:color w:val="auto"/>
        </w:rPr>
      </w:pPr>
      <w:r>
        <w:rPr>
          <w:rFonts w:ascii="Arial" w:cs="Arial" w:eastAsia="Arial" w:hAnsi="Arial"/>
          <w:sz w:val="18"/>
          <w:szCs w:val="18"/>
          <w:color w:val="auto"/>
        </w:rPr>
        <w:t>By:</w:t>
        <w:tab/>
        <w:t>/s/ William T. Bosway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12065</wp:posOffset>
            </wp:positionV>
            <wp:extent cx="27857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William T. Bosway</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Chairman of the Board, President and</w:t>
      </w:r>
    </w:p>
    <w:p>
      <w:pPr>
        <w:ind w:left="6880"/>
        <w:spacing w:after="0"/>
        <w:rPr>
          <w:sz w:val="20"/>
          <w:szCs w:val="20"/>
          <w:color w:val="auto"/>
        </w:rPr>
      </w:pPr>
      <w:r>
        <w:rPr>
          <w:rFonts w:ascii="Arial" w:cs="Arial" w:eastAsia="Arial" w:hAnsi="Arial"/>
          <w:sz w:val="18"/>
          <w:szCs w:val="18"/>
          <w:color w:val="auto"/>
        </w:rPr>
        <w:t>Chief Executive Officer</w:t>
      </w:r>
    </w:p>
    <w:p>
      <w:pPr>
        <w:spacing w:after="0" w:line="14" w:lineRule="exact"/>
        <w:rPr>
          <w:sz w:val="20"/>
          <w:szCs w:val="20"/>
          <w:color w:val="auto"/>
        </w:rPr>
      </w:pPr>
    </w:p>
    <w:p>
      <w:pPr>
        <w:ind w:left="6100"/>
        <w:spacing w:after="0"/>
        <w:tabs>
          <w:tab w:leader="none" w:pos="6860" w:val="left"/>
        </w:tabs>
        <w:rPr>
          <w:sz w:val="20"/>
          <w:szCs w:val="20"/>
          <w:color w:val="auto"/>
        </w:rPr>
      </w:pPr>
      <w:r>
        <w:rPr>
          <w:rFonts w:ascii="Arial" w:cs="Arial" w:eastAsia="Arial" w:hAnsi="Arial"/>
          <w:sz w:val="18"/>
          <w:szCs w:val="18"/>
          <w:color w:val="auto"/>
        </w:rPr>
        <w:t>Dated:</w:t>
        <w:tab/>
        <w:t>February 21, 2024</w:t>
      </w:r>
    </w:p>
    <w:p>
      <w:pPr>
        <w:spacing w:after="0" w:line="21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200" w:type="dxa"/>
            <w:vAlign w:val="bottom"/>
            <w:gridSpan w:val="3"/>
          </w:tcPr>
          <w:p>
            <w:pPr>
              <w:ind w:left="2560"/>
              <w:spacing w:after="0"/>
              <w:rPr>
                <w:sz w:val="20"/>
                <w:szCs w:val="20"/>
                <w:color w:val="auto"/>
              </w:rPr>
            </w:pPr>
            <w:r>
              <w:rPr>
                <w:rFonts w:ascii="Arial" w:cs="Arial" w:eastAsia="Arial" w:hAnsi="Arial"/>
                <w:sz w:val="14"/>
                <w:szCs w:val="14"/>
                <w:b w:val="1"/>
                <w:bCs w:val="1"/>
                <w:color w:val="auto"/>
              </w:rPr>
              <w:t>TITLE</w:t>
            </w:r>
          </w:p>
        </w:tc>
        <w:tc>
          <w:tcPr>
            <w:tcW w:w="1720" w:type="dxa"/>
            <w:vAlign w:val="bottom"/>
            <w:gridSpan w:val="3"/>
          </w:tcPr>
          <w:p>
            <w:pPr>
              <w:ind w:left="10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/s/ William T. Bosway</w:t>
            </w: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Chairman of the Board of Directors, President and Chief</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w w:val="97"/>
              </w:rPr>
              <w:t>February 21, 2024</w:t>
            </w:r>
          </w:p>
        </w:tc>
        <w:tc>
          <w:tcPr>
            <w:tcW w:w="0" w:type="dxa"/>
            <w:vAlign w:val="bottom"/>
          </w:tcPr>
          <w:p>
            <w:pPr>
              <w:spacing w:after="0"/>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5200" w:type="dxa"/>
            <w:vAlign w:val="bottom"/>
            <w:gridSpan w:val="3"/>
            <w:vMerge w:val="restart"/>
          </w:tcPr>
          <w:p>
            <w:pPr>
              <w:ind w:left="280"/>
              <w:spacing w:after="0"/>
              <w:rPr>
                <w:sz w:val="20"/>
                <w:szCs w:val="20"/>
                <w:color w:val="auto"/>
              </w:rPr>
            </w:pPr>
            <w:r>
              <w:rPr>
                <w:rFonts w:ascii="Arial" w:cs="Arial" w:eastAsia="Arial" w:hAnsi="Arial"/>
                <w:sz w:val="18"/>
                <w:szCs w:val="18"/>
                <w:color w:val="auto"/>
              </w:rPr>
              <w:t>Executive Officer (principal executive officer)</w:t>
            </w: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3440" w:type="dxa"/>
            <w:vAlign w:val="bottom"/>
            <w:gridSpan w:val="3"/>
            <w:vMerge w:val="restart"/>
          </w:tcPr>
          <w:p>
            <w:pPr>
              <w:ind w:left="20"/>
              <w:spacing w:after="0"/>
              <w:rPr>
                <w:sz w:val="20"/>
                <w:szCs w:val="20"/>
                <w:color w:val="auto"/>
              </w:rPr>
            </w:pPr>
            <w:r>
              <w:rPr>
                <w:rFonts w:ascii="Arial" w:cs="Arial" w:eastAsia="Arial" w:hAnsi="Arial"/>
                <w:sz w:val="18"/>
                <w:szCs w:val="18"/>
                <w:color w:val="auto"/>
              </w:rPr>
              <w:t>William T. Bosway</w:t>
            </w:r>
          </w:p>
        </w:tc>
        <w:tc>
          <w:tcPr>
            <w:tcW w:w="520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440" w:type="dxa"/>
            <w:vAlign w:val="bottom"/>
            <w:gridSpan w:val="3"/>
            <w:vMerge w:val="continue"/>
          </w:tcPr>
          <w:p>
            <w:pPr>
              <w:spacing w:after="0"/>
              <w:rPr>
                <w:sz w:val="8"/>
                <w:szCs w:val="8"/>
                <w:color w:val="auto"/>
              </w:rPr>
            </w:pPr>
          </w:p>
        </w:tc>
        <w:tc>
          <w:tcPr>
            <w:tcW w:w="2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7"/>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/s/ Timothy F. Murphy</w:t>
            </w: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Senior Vice President and Chief Financial Officer (principal</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w w:val="97"/>
              </w:rPr>
              <w:t>February 21, 2024</w:t>
            </w:r>
          </w:p>
        </w:tc>
        <w:tc>
          <w:tcPr>
            <w:tcW w:w="0" w:type="dxa"/>
            <w:vAlign w:val="bottom"/>
          </w:tcPr>
          <w:p>
            <w:pPr>
              <w:spacing w:after="0"/>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5200" w:type="dxa"/>
            <w:vAlign w:val="bottom"/>
            <w:gridSpan w:val="3"/>
            <w:vMerge w:val="restart"/>
          </w:tcPr>
          <w:p>
            <w:pPr>
              <w:ind w:left="280"/>
              <w:spacing w:after="0"/>
              <w:rPr>
                <w:sz w:val="20"/>
                <w:szCs w:val="20"/>
                <w:color w:val="auto"/>
              </w:rPr>
            </w:pPr>
            <w:r>
              <w:rPr>
                <w:rFonts w:ascii="Arial" w:cs="Arial" w:eastAsia="Arial" w:hAnsi="Arial"/>
                <w:sz w:val="18"/>
                <w:szCs w:val="18"/>
                <w:color w:val="auto"/>
              </w:rPr>
              <w:t>financial and accounting officer)</w:t>
            </w: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3440" w:type="dxa"/>
            <w:vAlign w:val="bottom"/>
            <w:gridSpan w:val="3"/>
            <w:vMerge w:val="restart"/>
          </w:tcPr>
          <w:p>
            <w:pPr>
              <w:ind w:left="20"/>
              <w:spacing w:after="0"/>
              <w:rPr>
                <w:sz w:val="20"/>
                <w:szCs w:val="20"/>
                <w:color w:val="auto"/>
              </w:rPr>
            </w:pPr>
            <w:r>
              <w:rPr>
                <w:rFonts w:ascii="Arial" w:cs="Arial" w:eastAsia="Arial" w:hAnsi="Arial"/>
                <w:sz w:val="18"/>
                <w:szCs w:val="18"/>
                <w:color w:val="auto"/>
              </w:rPr>
              <w:t>Timothy F. Murphy</w:t>
            </w:r>
          </w:p>
        </w:tc>
        <w:tc>
          <w:tcPr>
            <w:tcW w:w="520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440" w:type="dxa"/>
            <w:vAlign w:val="bottom"/>
            <w:gridSpan w:val="3"/>
            <w:vMerge w:val="continue"/>
          </w:tcPr>
          <w:p>
            <w:pPr>
              <w:spacing w:after="0"/>
              <w:rPr>
                <w:sz w:val="8"/>
                <w:szCs w:val="8"/>
                <w:color w:val="auto"/>
              </w:rPr>
            </w:pPr>
          </w:p>
        </w:tc>
        <w:tc>
          <w:tcPr>
            <w:tcW w:w="2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1"/>
        </w:trPr>
        <w:tc>
          <w:tcPr>
            <w:tcW w:w="34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Atlee Valentine Pope</w:t>
            </w: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Lead Independent Director</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w w:val="97"/>
              </w:rPr>
              <w:t>February 21, 2024</w:t>
            </w:r>
          </w:p>
        </w:tc>
        <w:tc>
          <w:tcPr>
            <w:tcW w:w="0" w:type="dxa"/>
            <w:vAlign w:val="bottom"/>
          </w:tcPr>
          <w:p>
            <w:pPr>
              <w:spacing w:after="0"/>
              <w:rPr>
                <w:sz w:val="1"/>
                <w:szCs w:val="1"/>
                <w:color w:val="auto"/>
              </w:rPr>
            </w:pPr>
          </w:p>
        </w:tc>
      </w:tr>
      <w:tr>
        <w:trPr>
          <w:trHeight w:val="232"/>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Atlee Valentine Pope</w:t>
            </w: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34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Mark G. Barberio</w:t>
            </w: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w w:val="97"/>
              </w:rPr>
              <w:t>February 21, 2024</w:t>
            </w:r>
          </w:p>
        </w:tc>
        <w:tc>
          <w:tcPr>
            <w:tcW w:w="0" w:type="dxa"/>
            <w:vAlign w:val="bottom"/>
          </w:tcPr>
          <w:p>
            <w:pPr>
              <w:spacing w:after="0"/>
              <w:rPr>
                <w:sz w:val="1"/>
                <w:szCs w:val="1"/>
                <w:color w:val="auto"/>
              </w:rPr>
            </w:pPr>
          </w:p>
        </w:tc>
      </w:tr>
      <w:tr>
        <w:trPr>
          <w:trHeight w:val="232"/>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Mark G. Barberio</w:t>
            </w: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34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Craig A. Hindman</w:t>
            </w: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w w:val="97"/>
              </w:rPr>
              <w:t>February 21, 2024</w:t>
            </w:r>
          </w:p>
        </w:tc>
        <w:tc>
          <w:tcPr>
            <w:tcW w:w="0" w:type="dxa"/>
            <w:vAlign w:val="bottom"/>
          </w:tcPr>
          <w:p>
            <w:pPr>
              <w:spacing w:after="0"/>
              <w:rPr>
                <w:sz w:val="1"/>
                <w:szCs w:val="1"/>
                <w:color w:val="auto"/>
              </w:rPr>
            </w:pPr>
          </w:p>
        </w:tc>
      </w:tr>
      <w:tr>
        <w:trPr>
          <w:trHeight w:val="232"/>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Craig A. Hindman</w:t>
            </w: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34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Gwendolyn G. Mizell</w:t>
            </w: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w w:val="97"/>
              </w:rPr>
              <w:t>February 21, 2024</w:t>
            </w:r>
          </w:p>
        </w:tc>
        <w:tc>
          <w:tcPr>
            <w:tcW w:w="0" w:type="dxa"/>
            <w:vAlign w:val="bottom"/>
          </w:tcPr>
          <w:p>
            <w:pPr>
              <w:spacing w:after="0"/>
              <w:rPr>
                <w:sz w:val="1"/>
                <w:szCs w:val="1"/>
                <w:color w:val="auto"/>
              </w:rPr>
            </w:pPr>
          </w:p>
        </w:tc>
      </w:tr>
      <w:tr>
        <w:trPr>
          <w:trHeight w:val="232"/>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Gwendolyn G. Mizell</w:t>
            </w: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34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Linda K. Myers</w:t>
            </w: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w w:val="97"/>
              </w:rPr>
              <w:t>February 21, 2024</w:t>
            </w:r>
          </w:p>
        </w:tc>
        <w:tc>
          <w:tcPr>
            <w:tcW w:w="0" w:type="dxa"/>
            <w:vAlign w:val="bottom"/>
          </w:tcPr>
          <w:p>
            <w:pPr>
              <w:spacing w:after="0"/>
              <w:rPr>
                <w:sz w:val="1"/>
                <w:szCs w:val="1"/>
                <w:color w:val="auto"/>
              </w:rPr>
            </w:pPr>
          </w:p>
        </w:tc>
      </w:tr>
      <w:tr>
        <w:trPr>
          <w:trHeight w:val="232"/>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Linda K. Myers</w:t>
            </w: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34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James B. Nish</w:t>
            </w: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w w:val="97"/>
              </w:rPr>
              <w:t>February 21, 2024</w:t>
            </w:r>
          </w:p>
        </w:tc>
        <w:tc>
          <w:tcPr>
            <w:tcW w:w="0" w:type="dxa"/>
            <w:vAlign w:val="bottom"/>
          </w:tcPr>
          <w:p>
            <w:pPr>
              <w:spacing w:after="0"/>
              <w:rPr>
                <w:sz w:val="1"/>
                <w:szCs w:val="1"/>
                <w:color w:val="auto"/>
              </w:rPr>
            </w:pPr>
          </w:p>
        </w:tc>
      </w:tr>
      <w:tr>
        <w:trPr>
          <w:trHeight w:val="232"/>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James B. Nish</w:t>
            </w: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34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Manish H. Shah</w:t>
            </w:r>
          </w:p>
        </w:tc>
        <w:tc>
          <w:tcPr>
            <w:tcW w:w="520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w w:val="97"/>
              </w:rPr>
              <w:t>February 21, 2024</w:t>
            </w:r>
          </w:p>
        </w:tc>
        <w:tc>
          <w:tcPr>
            <w:tcW w:w="0" w:type="dxa"/>
            <w:vAlign w:val="bottom"/>
          </w:tcPr>
          <w:p>
            <w:pPr>
              <w:spacing w:after="0"/>
              <w:rPr>
                <w:sz w:val="1"/>
                <w:szCs w:val="1"/>
                <w:color w:val="auto"/>
              </w:rPr>
            </w:pPr>
          </w:p>
        </w:tc>
      </w:tr>
      <w:tr>
        <w:trPr>
          <w:trHeight w:val="232"/>
        </w:trPr>
        <w:tc>
          <w:tcPr>
            <w:tcW w:w="3440" w:type="dxa"/>
            <w:vAlign w:val="bottom"/>
            <w:gridSpan w:val="3"/>
          </w:tcPr>
          <w:p>
            <w:pPr>
              <w:ind w:left="20"/>
              <w:spacing w:after="0"/>
              <w:rPr>
                <w:sz w:val="20"/>
                <w:szCs w:val="20"/>
                <w:color w:val="auto"/>
              </w:rPr>
            </w:pPr>
            <w:r>
              <w:rPr>
                <w:rFonts w:ascii="Arial" w:cs="Arial" w:eastAsia="Arial" w:hAnsi="Arial"/>
                <w:sz w:val="18"/>
                <w:szCs w:val="18"/>
                <w:color w:val="auto"/>
              </w:rPr>
              <w:t>Manish H. Shah</w:t>
            </w: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121" w:right="4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is a list of the subsidiaries of Gibraltar Industries, Inc. as of December 31, 2023. The names of indirectly owned subsidiaries are indented under the names of their respective parent corporations: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Appleton Supply Company, Inc.</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Delaware</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D.S.B. Holding Corp.</w:t>
            </w:r>
          </w:p>
        </w:tc>
        <w:tc>
          <w:tcPr>
            <w:tcW w:w="4220" w:type="dxa"/>
            <w:vAlign w:val="bottom"/>
          </w:tcPr>
          <w:p>
            <w:pPr>
              <w:ind w:left="1280"/>
              <w:spacing w:after="0"/>
              <w:rPr>
                <w:sz w:val="20"/>
                <w:szCs w:val="20"/>
                <w:color w:val="auto"/>
              </w:rPr>
            </w:pPr>
            <w:r>
              <w:rPr>
                <w:rFonts w:ascii="Arial" w:cs="Arial" w:eastAsia="Arial" w:hAnsi="Arial"/>
                <w:sz w:val="18"/>
                <w:szCs w:val="18"/>
                <w:color w:val="auto"/>
              </w:rPr>
              <w:t>Delaware</w:t>
            </w:r>
          </w:p>
        </w:tc>
      </w:tr>
      <w:tr>
        <w:trPr>
          <w:trHeight w:val="229"/>
        </w:trPr>
        <w:tc>
          <w:tcPr>
            <w:tcW w:w="6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D.S. Brown Company</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Ohio</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Florence Corporation</w:t>
            </w:r>
          </w:p>
        </w:tc>
        <w:tc>
          <w:tcPr>
            <w:tcW w:w="4220" w:type="dxa"/>
            <w:vAlign w:val="bottom"/>
          </w:tcPr>
          <w:p>
            <w:pPr>
              <w:ind w:left="1280"/>
              <w:spacing w:after="0"/>
              <w:rPr>
                <w:sz w:val="20"/>
                <w:szCs w:val="20"/>
                <w:color w:val="auto"/>
              </w:rPr>
            </w:pPr>
            <w:r>
              <w:rPr>
                <w:rFonts w:ascii="Arial" w:cs="Arial" w:eastAsia="Arial" w:hAnsi="Arial"/>
                <w:sz w:val="18"/>
                <w:szCs w:val="18"/>
                <w:color w:val="auto"/>
              </w:rPr>
              <w:t>Illinois</w:t>
            </w:r>
          </w:p>
        </w:tc>
      </w:tr>
      <w:tr>
        <w:trPr>
          <w:trHeight w:val="229"/>
        </w:trPr>
        <w:tc>
          <w:tcPr>
            <w:tcW w:w="6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Florence Corporation of Kansas</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Kansas</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Gibraltar Industries Holding Company (UK) Limited</w:t>
            </w:r>
          </w:p>
        </w:tc>
        <w:tc>
          <w:tcPr>
            <w:tcW w:w="4220" w:type="dxa"/>
            <w:vAlign w:val="bottom"/>
          </w:tcPr>
          <w:p>
            <w:pPr>
              <w:ind w:left="1280"/>
              <w:spacing w:after="0"/>
              <w:rPr>
                <w:sz w:val="20"/>
                <w:szCs w:val="20"/>
                <w:color w:val="auto"/>
              </w:rPr>
            </w:pPr>
            <w:r>
              <w:rPr>
                <w:rFonts w:ascii="Arial" w:cs="Arial" w:eastAsia="Arial" w:hAnsi="Arial"/>
                <w:sz w:val="18"/>
                <w:szCs w:val="18"/>
                <w:color w:val="auto"/>
              </w:rPr>
              <w:t>United Kingdom</w:t>
            </w:r>
          </w:p>
        </w:tc>
      </w:tr>
      <w:tr>
        <w:trPr>
          <w:trHeight w:val="230"/>
        </w:trPr>
        <w:tc>
          <w:tcPr>
            <w:tcW w:w="6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Rough Brothers Greenhouse Manufacturing (Shanghai) Co., Ltd</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China</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Gibraltar Steel Corporation of New York</w:t>
            </w:r>
          </w:p>
        </w:tc>
        <w:tc>
          <w:tcPr>
            <w:tcW w:w="4220" w:type="dxa"/>
            <w:vAlign w:val="bottom"/>
          </w:tcPr>
          <w:p>
            <w:pPr>
              <w:ind w:left="1280"/>
              <w:spacing w:after="0"/>
              <w:rPr>
                <w:sz w:val="20"/>
                <w:szCs w:val="20"/>
                <w:color w:val="auto"/>
              </w:rPr>
            </w:pPr>
            <w:r>
              <w:rPr>
                <w:rFonts w:ascii="Arial" w:cs="Arial" w:eastAsia="Arial" w:hAnsi="Arial"/>
                <w:sz w:val="18"/>
                <w:szCs w:val="18"/>
                <w:color w:val="auto"/>
              </w:rPr>
              <w:t>New York</w:t>
            </w:r>
          </w:p>
        </w:tc>
      </w:tr>
      <w:tr>
        <w:trPr>
          <w:trHeight w:val="229"/>
        </w:trPr>
        <w:tc>
          <w:tcPr>
            <w:tcW w:w="6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Southeastern Metals Manufacturing Company, Inc.</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Florida</w:t>
            </w:r>
          </w:p>
        </w:tc>
      </w:tr>
      <w:tr>
        <w:trPr>
          <w:trHeight w:val="230"/>
        </w:trPr>
        <w:tc>
          <w:tcPr>
            <w:tcW w:w="6980" w:type="dxa"/>
            <w:vAlign w:val="bottom"/>
          </w:tcPr>
          <w:p>
            <w:pPr>
              <w:ind w:left="780"/>
              <w:spacing w:after="0"/>
              <w:rPr>
                <w:sz w:val="20"/>
                <w:szCs w:val="20"/>
                <w:color w:val="auto"/>
              </w:rPr>
            </w:pPr>
            <w:r>
              <w:rPr>
                <w:rFonts w:ascii="Arial" w:cs="Arial" w:eastAsia="Arial" w:hAnsi="Arial"/>
                <w:sz w:val="18"/>
                <w:szCs w:val="18"/>
                <w:color w:val="auto"/>
              </w:rPr>
              <w:t>Pacific Awards Metals, Inc.</w:t>
            </w:r>
          </w:p>
        </w:tc>
        <w:tc>
          <w:tcPr>
            <w:tcW w:w="4220" w:type="dxa"/>
            <w:vAlign w:val="bottom"/>
          </w:tcPr>
          <w:p>
            <w:pPr>
              <w:ind w:left="1280"/>
              <w:spacing w:after="0"/>
              <w:rPr>
                <w:sz w:val="20"/>
                <w:szCs w:val="20"/>
                <w:color w:val="auto"/>
              </w:rPr>
            </w:pPr>
            <w:r>
              <w:rPr>
                <w:rFonts w:ascii="Arial" w:cs="Arial" w:eastAsia="Arial" w:hAnsi="Arial"/>
                <w:sz w:val="18"/>
                <w:szCs w:val="18"/>
                <w:color w:val="auto"/>
              </w:rPr>
              <w:t>California</w:t>
            </w:r>
          </w:p>
        </w:tc>
      </w:tr>
      <w:tr>
        <w:trPr>
          <w:trHeight w:val="229"/>
        </w:trPr>
        <w:tc>
          <w:tcPr>
            <w:tcW w:w="69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Noll/Norwesco, LLC</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Delaware</w:t>
            </w:r>
          </w:p>
        </w:tc>
      </w:tr>
      <w:tr>
        <w:trPr>
          <w:trHeight w:val="230"/>
        </w:trPr>
        <w:tc>
          <w:tcPr>
            <w:tcW w:w="6980" w:type="dxa"/>
            <w:vAlign w:val="bottom"/>
          </w:tcPr>
          <w:p>
            <w:pPr>
              <w:ind w:left="780"/>
              <w:spacing w:after="0"/>
              <w:rPr>
                <w:sz w:val="20"/>
                <w:szCs w:val="20"/>
                <w:color w:val="auto"/>
              </w:rPr>
            </w:pPr>
            <w:r>
              <w:rPr>
                <w:rFonts w:ascii="Arial" w:cs="Arial" w:eastAsia="Arial" w:hAnsi="Arial"/>
                <w:sz w:val="18"/>
                <w:szCs w:val="18"/>
                <w:color w:val="auto"/>
              </w:rPr>
              <w:t>SBC Acquisition, LLC</w:t>
            </w:r>
          </w:p>
        </w:tc>
        <w:tc>
          <w:tcPr>
            <w:tcW w:w="4220" w:type="dxa"/>
            <w:vAlign w:val="bottom"/>
          </w:tcPr>
          <w:p>
            <w:pPr>
              <w:ind w:left="1280"/>
              <w:spacing w:after="0"/>
              <w:rPr>
                <w:sz w:val="20"/>
                <w:szCs w:val="20"/>
                <w:color w:val="auto"/>
              </w:rPr>
            </w:pPr>
            <w:r>
              <w:rPr>
                <w:rFonts w:ascii="Arial" w:cs="Arial" w:eastAsia="Arial" w:hAnsi="Arial"/>
                <w:sz w:val="18"/>
                <w:szCs w:val="18"/>
                <w:color w:val="auto"/>
              </w:rPr>
              <w:t>Delaware</w:t>
            </w:r>
          </w:p>
        </w:tc>
      </w:tr>
      <w:tr>
        <w:trPr>
          <w:trHeight w:val="229"/>
        </w:trPr>
        <w:tc>
          <w:tcPr>
            <w:tcW w:w="6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Air Vent Inc.</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Delaware</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Package Concierge, Inc.</w:t>
            </w:r>
          </w:p>
        </w:tc>
        <w:tc>
          <w:tcPr>
            <w:tcW w:w="4220" w:type="dxa"/>
            <w:vAlign w:val="bottom"/>
          </w:tcPr>
          <w:p>
            <w:pPr>
              <w:ind w:left="1280"/>
              <w:spacing w:after="0"/>
              <w:rPr>
                <w:sz w:val="20"/>
                <w:szCs w:val="20"/>
                <w:color w:val="auto"/>
              </w:rPr>
            </w:pPr>
            <w:r>
              <w:rPr>
                <w:rFonts w:ascii="Arial" w:cs="Arial" w:eastAsia="Arial" w:hAnsi="Arial"/>
                <w:sz w:val="18"/>
                <w:szCs w:val="18"/>
                <w:color w:val="auto"/>
              </w:rPr>
              <w:t>Delaware</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Quality Aluminum Products, LLC</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Delaware</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Rough Brothers Holding Co., Inc.</w:t>
            </w:r>
          </w:p>
        </w:tc>
        <w:tc>
          <w:tcPr>
            <w:tcW w:w="4220" w:type="dxa"/>
            <w:vAlign w:val="bottom"/>
          </w:tcPr>
          <w:p>
            <w:pPr>
              <w:ind w:left="1280"/>
              <w:spacing w:after="0"/>
              <w:rPr>
                <w:sz w:val="20"/>
                <w:szCs w:val="20"/>
                <w:color w:val="auto"/>
              </w:rPr>
            </w:pPr>
            <w:r>
              <w:rPr>
                <w:rFonts w:ascii="Arial" w:cs="Arial" w:eastAsia="Arial" w:hAnsi="Arial"/>
                <w:sz w:val="18"/>
                <w:szCs w:val="18"/>
                <w:color w:val="auto"/>
              </w:rPr>
              <w:t>Ohio</w:t>
            </w:r>
          </w:p>
        </w:tc>
      </w:tr>
      <w:tr>
        <w:trPr>
          <w:trHeight w:val="229"/>
        </w:trPr>
        <w:tc>
          <w:tcPr>
            <w:tcW w:w="6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Terrasmart, Inc.</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Ohio</w:t>
            </w:r>
          </w:p>
        </w:tc>
      </w:tr>
      <w:tr>
        <w:trPr>
          <w:trHeight w:val="230"/>
        </w:trPr>
        <w:tc>
          <w:tcPr>
            <w:tcW w:w="6980" w:type="dxa"/>
            <w:vAlign w:val="bottom"/>
          </w:tcPr>
          <w:p>
            <w:pPr>
              <w:ind w:left="580"/>
              <w:spacing w:after="0"/>
              <w:rPr>
                <w:sz w:val="20"/>
                <w:szCs w:val="20"/>
                <w:color w:val="auto"/>
              </w:rPr>
            </w:pPr>
            <w:r>
              <w:rPr>
                <w:rFonts w:ascii="Arial" w:cs="Arial" w:eastAsia="Arial" w:hAnsi="Arial"/>
                <w:sz w:val="18"/>
                <w:szCs w:val="18"/>
                <w:color w:val="auto"/>
              </w:rPr>
              <w:t>Rough Brothers Manufacturing, Inc.</w:t>
            </w:r>
          </w:p>
        </w:tc>
        <w:tc>
          <w:tcPr>
            <w:tcW w:w="4220" w:type="dxa"/>
            <w:vAlign w:val="bottom"/>
          </w:tcPr>
          <w:p>
            <w:pPr>
              <w:ind w:left="1280"/>
              <w:spacing w:after="0"/>
              <w:rPr>
                <w:sz w:val="20"/>
                <w:szCs w:val="20"/>
                <w:color w:val="auto"/>
              </w:rPr>
            </w:pPr>
            <w:r>
              <w:rPr>
                <w:rFonts w:ascii="Arial" w:cs="Arial" w:eastAsia="Arial" w:hAnsi="Arial"/>
                <w:sz w:val="18"/>
                <w:szCs w:val="18"/>
                <w:color w:val="auto"/>
              </w:rPr>
              <w:t>Ohio</w:t>
            </w:r>
          </w:p>
        </w:tc>
      </w:tr>
      <w:tr>
        <w:trPr>
          <w:trHeight w:val="229"/>
        </w:trPr>
        <w:tc>
          <w:tcPr>
            <w:tcW w:w="69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Prospiant, Inc.</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Ohio</w:t>
            </w:r>
          </w:p>
        </w:tc>
      </w:tr>
      <w:tr>
        <w:trPr>
          <w:trHeight w:val="230"/>
        </w:trPr>
        <w:tc>
          <w:tcPr>
            <w:tcW w:w="6980" w:type="dxa"/>
            <w:vAlign w:val="bottom"/>
          </w:tcPr>
          <w:p>
            <w:pPr>
              <w:ind w:left="1040"/>
              <w:spacing w:after="0"/>
              <w:rPr>
                <w:sz w:val="20"/>
                <w:szCs w:val="20"/>
                <w:color w:val="auto"/>
              </w:rPr>
            </w:pPr>
            <w:r>
              <w:rPr>
                <w:rFonts w:ascii="Arial" w:cs="Arial" w:eastAsia="Arial" w:hAnsi="Arial"/>
                <w:sz w:val="18"/>
                <w:szCs w:val="18"/>
                <w:color w:val="auto"/>
              </w:rPr>
              <w:t>Apeks, LLC</w:t>
            </w:r>
          </w:p>
        </w:tc>
        <w:tc>
          <w:tcPr>
            <w:tcW w:w="4220" w:type="dxa"/>
            <w:vAlign w:val="bottom"/>
          </w:tcPr>
          <w:p>
            <w:pPr>
              <w:ind w:left="1280"/>
              <w:spacing w:after="0"/>
              <w:rPr>
                <w:sz w:val="20"/>
                <w:szCs w:val="20"/>
                <w:color w:val="auto"/>
              </w:rPr>
            </w:pPr>
            <w:r>
              <w:rPr>
                <w:rFonts w:ascii="Arial" w:cs="Arial" w:eastAsia="Arial" w:hAnsi="Arial"/>
                <w:sz w:val="18"/>
                <w:szCs w:val="18"/>
                <w:color w:val="auto"/>
              </w:rPr>
              <w:t>Ohio</w:t>
            </w:r>
          </w:p>
        </w:tc>
      </w:tr>
      <w:tr>
        <w:trPr>
          <w:trHeight w:val="230"/>
        </w:trPr>
        <w:tc>
          <w:tcPr>
            <w:tcW w:w="69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Thermo Energy Solutions, Inc.</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Canada</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Solar Group, Inc.</w:t>
            </w:r>
          </w:p>
        </w:tc>
        <w:tc>
          <w:tcPr>
            <w:tcW w:w="4220" w:type="dxa"/>
            <w:vAlign w:val="bottom"/>
          </w:tcPr>
          <w:p>
            <w:pPr>
              <w:ind w:left="1280"/>
              <w:spacing w:after="0"/>
              <w:rPr>
                <w:sz w:val="20"/>
                <w:szCs w:val="20"/>
                <w:color w:val="auto"/>
              </w:rPr>
            </w:pPr>
            <w:r>
              <w:rPr>
                <w:rFonts w:ascii="Arial" w:cs="Arial" w:eastAsia="Arial" w:hAnsi="Arial"/>
                <w:sz w:val="18"/>
                <w:szCs w:val="18"/>
                <w:color w:val="auto"/>
              </w:rPr>
              <w:t>Delaware</w:t>
            </w:r>
          </w:p>
        </w:tc>
      </w:tr>
      <w:tr>
        <w:trPr>
          <w:trHeight w:val="230"/>
        </w:trPr>
        <w:tc>
          <w:tcPr>
            <w:tcW w:w="6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Architectural Mailboxes, LLC</w:t>
            </w: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89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66" w:lineRule="exact"/>
        <w:rPr>
          <w:sz w:val="20"/>
          <w:szCs w:val="20"/>
          <w:color w:val="auto"/>
        </w:rPr>
      </w:pPr>
    </w:p>
    <w:p>
      <w:pPr>
        <w:ind w:left="740" w:hanging="489"/>
        <w:spacing w:after="0" w:line="242" w:lineRule="auto"/>
        <w:tabs>
          <w:tab w:leader="none" w:pos="739" w:val="left"/>
        </w:tabs>
        <w:numPr>
          <w:ilvl w:val="0"/>
          <w:numId w:val="26"/>
        </w:numPr>
        <w:rPr>
          <w:rFonts w:ascii="Arial" w:cs="Arial" w:eastAsia="Arial" w:hAnsi="Arial"/>
          <w:sz w:val="20"/>
          <w:szCs w:val="20"/>
          <w:color w:val="auto"/>
        </w:rPr>
      </w:pPr>
      <w:r>
        <w:rPr>
          <w:rFonts w:ascii="Arial" w:cs="Arial" w:eastAsia="Arial" w:hAnsi="Arial"/>
          <w:sz w:val="18"/>
          <w:szCs w:val="18"/>
          <w:color w:val="auto"/>
        </w:rPr>
        <w:t>Registration Statement (Form S-8 No. 333-143582), as amended, pertaining to the Gibraltar Industries, Inc. 2005 Equity Incentive Plan,</w:t>
      </w:r>
    </w:p>
    <w:p>
      <w:pPr>
        <w:ind w:left="740" w:hanging="489"/>
        <w:spacing w:after="0" w:line="237" w:lineRule="auto"/>
        <w:tabs>
          <w:tab w:leader="none" w:pos="739" w:val="left"/>
        </w:tabs>
        <w:numPr>
          <w:ilvl w:val="0"/>
          <w:numId w:val="26"/>
        </w:numPr>
        <w:rPr>
          <w:rFonts w:ascii="Arial" w:cs="Arial" w:eastAsia="Arial" w:hAnsi="Arial"/>
          <w:sz w:val="20"/>
          <w:szCs w:val="20"/>
          <w:color w:val="auto"/>
        </w:rPr>
      </w:pPr>
      <w:r>
        <w:rPr>
          <w:rFonts w:ascii="Arial" w:cs="Arial" w:eastAsia="Arial" w:hAnsi="Arial"/>
          <w:sz w:val="18"/>
          <w:szCs w:val="18"/>
          <w:color w:val="auto"/>
        </w:rPr>
        <w:t>Registration Statement (Form S-8 No. 333-147117) pertaining to the registration of 437,911 shares of its common stock related to the Gibraltar Industries, Inc. 2005 Equity Incentive Plan,</w:t>
      </w:r>
    </w:p>
    <w:p>
      <w:pPr>
        <w:ind w:left="740" w:hanging="489"/>
        <w:spacing w:after="0" w:line="237" w:lineRule="auto"/>
        <w:tabs>
          <w:tab w:leader="none" w:pos="739" w:val="left"/>
        </w:tabs>
        <w:numPr>
          <w:ilvl w:val="0"/>
          <w:numId w:val="26"/>
        </w:numPr>
        <w:rPr>
          <w:rFonts w:ascii="Arial" w:cs="Arial" w:eastAsia="Arial" w:hAnsi="Arial"/>
          <w:sz w:val="20"/>
          <w:szCs w:val="20"/>
          <w:color w:val="auto"/>
        </w:rPr>
      </w:pPr>
      <w:r>
        <w:rPr>
          <w:rFonts w:ascii="Arial" w:cs="Arial" w:eastAsia="Arial" w:hAnsi="Arial"/>
          <w:sz w:val="18"/>
          <w:szCs w:val="18"/>
          <w:color w:val="auto"/>
        </w:rPr>
        <w:t>Registration Statement (Form S-8 No. 333-172588), as amended, pertaining to the registration of 750,000 shares of its common stock related to the Gibraltar Industries, Inc. 2005 Equity Incentive Plan,</w:t>
      </w:r>
    </w:p>
    <w:p>
      <w:pPr>
        <w:ind w:left="740" w:hanging="489"/>
        <w:spacing w:after="0" w:line="229" w:lineRule="auto"/>
        <w:tabs>
          <w:tab w:leader="none" w:pos="739" w:val="left"/>
        </w:tabs>
        <w:numPr>
          <w:ilvl w:val="0"/>
          <w:numId w:val="26"/>
        </w:numPr>
        <w:rPr>
          <w:rFonts w:ascii="Arial" w:cs="Arial" w:eastAsia="Arial" w:hAnsi="Arial"/>
          <w:sz w:val="20"/>
          <w:szCs w:val="20"/>
          <w:color w:val="auto"/>
        </w:rPr>
      </w:pPr>
      <w:r>
        <w:rPr>
          <w:rFonts w:ascii="Arial" w:cs="Arial" w:eastAsia="Arial" w:hAnsi="Arial"/>
          <w:sz w:val="18"/>
          <w:szCs w:val="18"/>
          <w:color w:val="auto"/>
        </w:rPr>
        <w:t>Registration Statement (Form S-8 No. 333-204415), as amended, pertaining to the Gibraltar Industries, Inc. 2015 Equity Incentive Plan,</w:t>
      </w:r>
    </w:p>
    <w:p>
      <w:pPr>
        <w:spacing w:after="0" w:line="1" w:lineRule="exact"/>
        <w:rPr>
          <w:rFonts w:ascii="Arial" w:cs="Arial" w:eastAsia="Arial" w:hAnsi="Arial"/>
          <w:sz w:val="20"/>
          <w:szCs w:val="20"/>
          <w:color w:val="auto"/>
        </w:rPr>
      </w:pPr>
    </w:p>
    <w:p>
      <w:pPr>
        <w:ind w:left="740" w:hanging="489"/>
        <w:spacing w:after="0" w:line="237" w:lineRule="auto"/>
        <w:tabs>
          <w:tab w:leader="none" w:pos="739" w:val="left"/>
        </w:tabs>
        <w:numPr>
          <w:ilvl w:val="0"/>
          <w:numId w:val="26"/>
        </w:numPr>
        <w:rPr>
          <w:rFonts w:ascii="Arial" w:cs="Arial" w:eastAsia="Arial" w:hAnsi="Arial"/>
          <w:sz w:val="20"/>
          <w:szCs w:val="20"/>
          <w:color w:val="auto"/>
        </w:rPr>
      </w:pPr>
      <w:r>
        <w:rPr>
          <w:rFonts w:ascii="Arial" w:cs="Arial" w:eastAsia="Arial" w:hAnsi="Arial"/>
          <w:sz w:val="18"/>
          <w:szCs w:val="18"/>
          <w:color w:val="auto"/>
        </w:rPr>
        <w:t>Registration Statements (Form S-8 Nos. 333-211347 and 333-264706), as amended, pertaining to the Gibraltar Industries, Inc. 2016 Stock Plan for Non-Employee Directors, and</w:t>
      </w:r>
    </w:p>
    <w:p>
      <w:pPr>
        <w:ind w:left="740" w:hanging="489"/>
        <w:spacing w:after="0" w:line="237" w:lineRule="auto"/>
        <w:tabs>
          <w:tab w:leader="none" w:pos="739" w:val="left"/>
        </w:tabs>
        <w:numPr>
          <w:ilvl w:val="0"/>
          <w:numId w:val="26"/>
        </w:numPr>
        <w:rPr>
          <w:rFonts w:ascii="Arial" w:cs="Arial" w:eastAsia="Arial" w:hAnsi="Arial"/>
          <w:sz w:val="20"/>
          <w:szCs w:val="20"/>
          <w:color w:val="auto"/>
        </w:rPr>
      </w:pPr>
      <w:r>
        <w:rPr>
          <w:rFonts w:ascii="Arial" w:cs="Arial" w:eastAsia="Arial" w:hAnsi="Arial"/>
          <w:sz w:val="18"/>
          <w:szCs w:val="18"/>
          <w:color w:val="auto"/>
        </w:rPr>
        <w:t>Registration Statement (Form S-8 Nos. 333-224877 and 333-273598), as amended, pertaining to the Gibraltar Industries, Inc. 2018 Equity Incentive Plan;</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our reports dated February 21, 2024, with respect to the consolidated financial statements of Gibraltar Industries, Inc. and the effectiveness of internal control over financial reporting of Gibraltar Industries, Inc. included in this Annual Report (Form 10-K) of Gibraltar Industries, Inc. for the year ended December 31, 2023.</w:t>
      </w:r>
    </w:p>
    <w:p>
      <w:pPr>
        <w:spacing w:after="0" w:line="19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ectPr>
          <w:pgSz w:w="11900" w:h="16838" w:orient="portrait"/>
          <w:cols w:equalWidth="0" w:num="1">
            <w:col w:w="11240"/>
          </w:cols>
          <w:pgMar w:left="320" w:top="141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William T. Bosway, certify that:</w:t>
      </w:r>
    </w:p>
    <w:p>
      <w:pPr>
        <w:spacing w:after="0" w:line="225" w:lineRule="exact"/>
        <w:rPr>
          <w:sz w:val="20"/>
          <w:szCs w:val="20"/>
          <w:color w:val="auto"/>
        </w:rPr>
      </w:pPr>
    </w:p>
    <w:p>
      <w:pPr>
        <w:ind w:left="800" w:hanging="79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Gibraltar Industries, Inc.;</w:t>
      </w:r>
    </w:p>
    <w:p>
      <w:pPr>
        <w:spacing w:after="0" w:line="225" w:lineRule="exact"/>
        <w:rPr>
          <w:rFonts w:ascii="Arial" w:cs="Arial" w:eastAsia="Arial" w:hAnsi="Arial"/>
          <w:sz w:val="18"/>
          <w:szCs w:val="18"/>
          <w:color w:val="auto"/>
        </w:rPr>
      </w:pPr>
    </w:p>
    <w:p>
      <w:pPr>
        <w:ind w:left="820" w:right="280" w:hanging="812"/>
        <w:spacing w:after="0" w:line="268" w:lineRule="auto"/>
        <w:tabs>
          <w:tab w:leader="none" w:pos="8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820" w:right="80" w:hanging="812"/>
        <w:spacing w:after="0" w:line="268" w:lineRule="auto"/>
        <w:tabs>
          <w:tab w:leader="none" w:pos="8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820" w:right="60" w:hanging="812"/>
        <w:spacing w:after="0" w:line="268" w:lineRule="auto"/>
        <w:tabs>
          <w:tab w:leader="none" w:pos="8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1620" w:right="220" w:hanging="802"/>
        <w:spacing w:after="0" w:line="262" w:lineRule="auto"/>
        <w:tabs>
          <w:tab w:leader="none" w:pos="16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1620" w:right="200" w:hanging="802"/>
        <w:spacing w:after="0" w:line="268" w:lineRule="auto"/>
        <w:tabs>
          <w:tab w:leader="none" w:pos="16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1620" w:right="320" w:hanging="802"/>
        <w:spacing w:after="0" w:line="268" w:lineRule="auto"/>
        <w:tabs>
          <w:tab w:leader="none" w:pos="16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620" w:right="60" w:hanging="802"/>
        <w:spacing w:after="0" w:line="291" w:lineRule="auto"/>
        <w:tabs>
          <w:tab w:leader="none" w:pos="1618"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7"/>
          <w:szCs w:val="17"/>
          <w:color w:val="auto"/>
        </w:rPr>
      </w:pPr>
    </w:p>
    <w:p>
      <w:pPr>
        <w:ind w:left="820" w:right="120" w:hanging="812"/>
        <w:spacing w:after="0" w:line="268" w:lineRule="auto"/>
        <w:tabs>
          <w:tab w:leader="none" w:pos="8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620" w:right="140" w:hanging="802"/>
        <w:spacing w:after="0" w:line="268" w:lineRule="auto"/>
        <w:tabs>
          <w:tab w:leader="none" w:pos="16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620" w:right="480" w:hanging="802"/>
        <w:spacing w:after="0" w:line="287" w:lineRule="auto"/>
        <w:tabs>
          <w:tab w:leader="none" w:pos="16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460" w:type="dxa"/>
            <w:vAlign w:val="bottom"/>
          </w:tcPr>
          <w:p>
            <w:pPr>
              <w:spacing w:after="0"/>
              <w:rPr>
                <w:sz w:val="20"/>
                <w:szCs w:val="20"/>
                <w:color w:val="auto"/>
              </w:rPr>
            </w:pPr>
            <w:r>
              <w:rPr>
                <w:rFonts w:ascii="Arial" w:cs="Arial" w:eastAsia="Arial" w:hAnsi="Arial"/>
                <w:sz w:val="18"/>
                <w:szCs w:val="18"/>
                <w:color w:val="auto"/>
              </w:rPr>
              <w:t>Date:   February 21, 2024</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T. Bosway</w:t>
            </w:r>
          </w:p>
        </w:tc>
      </w:tr>
      <w:tr>
        <w:trPr>
          <w:trHeight w:val="218"/>
        </w:trPr>
        <w:tc>
          <w:tcPr>
            <w:tcW w:w="546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William T. Bosway</w:t>
            </w:r>
          </w:p>
        </w:tc>
      </w:tr>
      <w:tr>
        <w:trPr>
          <w:trHeight w:val="239"/>
        </w:trPr>
        <w:tc>
          <w:tcPr>
            <w:tcW w:w="54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Chairman of the Board, President and Chief Executive Officer</w:t>
            </w:r>
          </w:p>
        </w:tc>
      </w:tr>
    </w:tbl>
    <w:p>
      <w:pPr>
        <w:sectPr>
          <w:pgSz w:w="11900" w:h="16838" w:orient="portrait"/>
          <w:cols w:equalWidth="0" w:num="1">
            <w:col w:w="11240"/>
          </w:cols>
          <w:pgMar w:left="320" w:top="89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Timothy F. Murphy, certify that:</w:t>
      </w:r>
    </w:p>
    <w:p>
      <w:pPr>
        <w:spacing w:after="0" w:line="225" w:lineRule="exact"/>
        <w:rPr>
          <w:sz w:val="20"/>
          <w:szCs w:val="20"/>
          <w:color w:val="auto"/>
        </w:rPr>
      </w:pPr>
    </w:p>
    <w:p>
      <w:pPr>
        <w:ind w:left="800" w:hanging="792"/>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Gibraltar Industries, Inc.;</w:t>
      </w:r>
    </w:p>
    <w:p>
      <w:pPr>
        <w:spacing w:after="0" w:line="225" w:lineRule="exact"/>
        <w:rPr>
          <w:rFonts w:ascii="Arial" w:cs="Arial" w:eastAsia="Arial" w:hAnsi="Arial"/>
          <w:sz w:val="18"/>
          <w:szCs w:val="18"/>
          <w:color w:val="auto"/>
        </w:rPr>
      </w:pPr>
    </w:p>
    <w:p>
      <w:pPr>
        <w:ind w:left="820" w:right="280" w:hanging="812"/>
        <w:spacing w:after="0" w:line="268" w:lineRule="auto"/>
        <w:tabs>
          <w:tab w:leader="none" w:pos="8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820" w:right="80" w:hanging="812"/>
        <w:spacing w:after="0" w:line="268" w:lineRule="auto"/>
        <w:tabs>
          <w:tab w:leader="none" w:pos="8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820" w:right="60" w:hanging="812"/>
        <w:spacing w:after="0" w:line="268" w:lineRule="auto"/>
        <w:tabs>
          <w:tab w:leader="none" w:pos="8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1620" w:right="220" w:hanging="802"/>
        <w:spacing w:after="0" w:line="262" w:lineRule="auto"/>
        <w:tabs>
          <w:tab w:leader="none" w:pos="16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1620" w:right="200" w:hanging="802"/>
        <w:spacing w:after="0" w:line="268" w:lineRule="auto"/>
        <w:tabs>
          <w:tab w:leader="none" w:pos="16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left="1620" w:right="320" w:hanging="802"/>
        <w:spacing w:after="0" w:line="268" w:lineRule="auto"/>
        <w:tabs>
          <w:tab w:leader="none" w:pos="160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620" w:right="60" w:hanging="802"/>
        <w:spacing w:after="0" w:line="291" w:lineRule="auto"/>
        <w:tabs>
          <w:tab w:leader="none" w:pos="161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7"/>
          <w:szCs w:val="17"/>
          <w:color w:val="auto"/>
        </w:rPr>
      </w:pPr>
    </w:p>
    <w:p>
      <w:pPr>
        <w:ind w:left="820" w:right="120" w:hanging="812"/>
        <w:spacing w:after="0" w:line="268" w:lineRule="auto"/>
        <w:tabs>
          <w:tab w:leader="none" w:pos="8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620" w:right="140" w:hanging="802"/>
        <w:spacing w:after="0" w:line="268" w:lineRule="auto"/>
        <w:tabs>
          <w:tab w:leader="none" w:pos="16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620" w:right="480" w:hanging="802"/>
        <w:spacing w:after="0" w:line="287" w:lineRule="auto"/>
        <w:tabs>
          <w:tab w:leader="none" w:pos="16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480" w:type="dxa"/>
            <w:vAlign w:val="bottom"/>
          </w:tcPr>
          <w:p>
            <w:pPr>
              <w:spacing w:after="0"/>
              <w:rPr>
                <w:sz w:val="20"/>
                <w:szCs w:val="20"/>
                <w:color w:val="auto"/>
              </w:rPr>
            </w:pPr>
            <w:r>
              <w:rPr>
                <w:rFonts w:ascii="Arial" w:cs="Arial" w:eastAsia="Arial" w:hAnsi="Arial"/>
                <w:sz w:val="18"/>
                <w:szCs w:val="18"/>
                <w:color w:val="auto"/>
              </w:rPr>
              <w:t>Date:   February 21, 2024</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F. Murphy</w:t>
            </w:r>
          </w:p>
        </w:tc>
      </w:tr>
      <w:tr>
        <w:trPr>
          <w:trHeight w:val="218"/>
        </w:trPr>
        <w:tc>
          <w:tcPr>
            <w:tcW w:w="54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Timothy F. Murphy</w:t>
            </w:r>
          </w:p>
        </w:tc>
      </w:tr>
      <w:tr>
        <w:trPr>
          <w:trHeight w:val="189"/>
        </w:trPr>
        <w:tc>
          <w:tcPr>
            <w:tcW w:w="5480" w:type="dxa"/>
            <w:vAlign w:val="bottom"/>
          </w:tcPr>
          <w:p>
            <w:pPr>
              <w:spacing w:after="0"/>
              <w:rPr>
                <w:sz w:val="16"/>
                <w:szCs w:val="16"/>
                <w:color w:val="auto"/>
              </w:rPr>
            </w:pPr>
          </w:p>
        </w:tc>
        <w:tc>
          <w:tcPr>
            <w:tcW w:w="5720" w:type="dxa"/>
            <w:vAlign w:val="bottom"/>
          </w:tcPr>
          <w:p>
            <w:pPr>
              <w:ind w:left="20"/>
              <w:spacing w:after="0" w:line="189" w:lineRule="exact"/>
              <w:rPr>
                <w:sz w:val="20"/>
                <w:szCs w:val="20"/>
                <w:color w:val="auto"/>
              </w:rPr>
            </w:pPr>
            <w:r>
              <w:rPr>
                <w:rFonts w:ascii="Arial" w:cs="Arial" w:eastAsia="Arial" w:hAnsi="Arial"/>
                <w:sz w:val="18"/>
                <w:szCs w:val="18"/>
                <w:color w:val="auto"/>
              </w:rPr>
              <w:t>Senior Vice President and</w:t>
            </w:r>
          </w:p>
        </w:tc>
      </w:tr>
      <w:tr>
        <w:trPr>
          <w:trHeight w:val="239"/>
        </w:trPr>
        <w:tc>
          <w:tcPr>
            <w:tcW w:w="548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0" w:right="339" w:bottom="1440" w:gutter="0" w:footer="0" w:header="0"/>
        </w:sectPr>
      </w:pPr>
    </w:p>
    <w:bookmarkStart w:id="81" w:name="page82"/>
    <w:bookmarkEnd w:id="81"/>
    <w:p>
      <w:pPr>
        <w:ind w:left="1014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color w:val="auto"/>
        </w:rPr>
        <w:t>CERTIFICATION OF PRESIDENT AND CHIEF EXECUTIVE OFFICER PURSUANT TO TITLE 18, UNITED STATES CODE, SECTION 1350, AS ADOPTED PURSUANT TO SECTION 906 OF THE SARBANES-OXLEY ACT OF 2002</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 William T. Bosway, President and Chief Executive Officer, of Gibraltar Industries, Inc. (the “Company”), certify, pursuant to Section 906 of the Sarbanes-Oxley Act of 2002, 18 U.S.C. Section 1350, that:</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Annual Report on Form 10-K of the Company for the year ended December 31, 2023 (the “Report”) fully complies with the requirements of Section 13(a) or 15(d) of the Securities Exchange Act of 1934 (15 U.S.C. 78m); and</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William T. Bosway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17780</wp:posOffset>
            </wp:positionV>
            <wp:extent cx="24688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William T. Bosway</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Chairman of the Board, President and Chief</w:t>
      </w:r>
    </w:p>
    <w:p>
      <w:pPr>
        <w:ind w:left="7380"/>
        <w:spacing w:after="0"/>
        <w:rPr>
          <w:sz w:val="20"/>
          <w:szCs w:val="20"/>
          <w:color w:val="auto"/>
        </w:rPr>
      </w:pPr>
      <w:r>
        <w:rPr>
          <w:rFonts w:ascii="Arial" w:cs="Arial" w:eastAsia="Arial" w:hAnsi="Arial"/>
          <w:sz w:val="18"/>
          <w:szCs w:val="18"/>
          <w:color w:val="auto"/>
        </w:rPr>
        <w:t>Executive Officer</w:t>
      </w:r>
    </w:p>
    <w:p>
      <w:pPr>
        <w:spacing w:after="0" w:line="288"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February 21, 2024</w:t>
      </w: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82" w:name="page83"/>
    <w:bookmarkEnd w:id="82"/>
    <w:p>
      <w:pPr>
        <w:ind w:left="1014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color w:val="auto"/>
        </w:rPr>
        <w:t>CERTIFICATION OF SENIOR VICE PRESIDENT AND CHIEF FINANCIAL OFFICER PURSUANT TO TITLE 18, UNITED STATES CODE, SECTION 1350, AS ADOPTED PURSUANT TO SECTION 906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F. Murphy, Senior Vice President and Chief Financial Officer, of Gibraltar Industries, Inc. (the “Company”), certify,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18 U.S.C. Section 1350, that:</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Annual Report on Form 10-K of the Company for the year ended December 31, 2023 (the “Report”) fully complies with the requirements of Section 13(a) or 15(d) of the Securities Exchange Act of 1934 (15 U.S.C. 78m); and</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F.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17780</wp:posOffset>
            </wp:positionV>
            <wp:extent cx="2854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Timothy F. Murphy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Senior Vice President and Chief Financial Officer</w:t>
      </w:r>
    </w:p>
    <w:p>
      <w:pPr>
        <w:spacing w:after="0" w:line="32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21, 2024</w:t>
      </w: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83" w:name="page84"/>
    <w:bookmarkEnd w:id="83"/>
    <w:p>
      <w:pPr>
        <w:spacing w:after="0" w:line="5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97</w:t>
      </w:r>
    </w:p>
    <w:p>
      <w:pPr>
        <w:spacing w:after="0" w:line="2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GIBRALTAR INDUSTRIES, INC.</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POLICY FOR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RECOVERY OF ERRONEOUSLY AWARDED COMPENSATION</w:t>
      </w:r>
    </w:p>
    <w:p>
      <w:pPr>
        <w:spacing w:after="0" w:line="203" w:lineRule="exact"/>
        <w:rPr>
          <w:sz w:val="20"/>
          <w:szCs w:val="20"/>
          <w:color w:val="auto"/>
        </w:rPr>
      </w:pPr>
    </w:p>
    <w:p>
      <w:pPr>
        <w:jc w:val="both"/>
        <w:ind w:firstLine="8"/>
        <w:spacing w:after="0" w:line="252" w:lineRule="auto"/>
        <w:tabs>
          <w:tab w:leader="none" w:pos="4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r>
        <w:rPr>
          <w:rFonts w:ascii="Times New Roman" w:cs="Times New Roman" w:eastAsia="Times New Roman" w:hAnsi="Times New Roman"/>
          <w:sz w:val="20"/>
          <w:szCs w:val="20"/>
          <w:color w:val="auto"/>
        </w:rPr>
        <w:t>.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Gibraltar Industries, Inc., a Delaware corporation (including its direct and indirect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believes that it is in the best interests of the Company and its stockholders to adopt this Policy for the Recovery of Erroneously Awarded Compensation, as may be amended from time to time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xml:space="preserve">”). This Policy requires the recovery of Erroneously Awarded Compensation by the Company from Covered Executive Officers in accordance with the terms set forth herein. Promptly, but in no event later than 30 days, following the later of the Effective Date or becoming a Covered Executive Officer, each Covered Executive Officer shall sign and return to the Company the Acknowledgement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pursuant to which such Covered Executive Officer shall agree to be bound by the terms of and comply with this Policy.</w:t>
      </w:r>
    </w:p>
    <w:p>
      <w:pPr>
        <w:spacing w:after="0" w:line="186" w:lineRule="exact"/>
        <w:rPr>
          <w:rFonts w:ascii="Times New Roman" w:cs="Times New Roman" w:eastAsia="Times New Roman" w:hAnsi="Times New Roman"/>
          <w:sz w:val="20"/>
          <w:szCs w:val="20"/>
          <w:b w:val="1"/>
          <w:bCs w:val="1"/>
          <w:color w:val="auto"/>
        </w:rPr>
      </w:pPr>
    </w:p>
    <w:p>
      <w:pPr>
        <w:jc w:val="both"/>
        <w:ind w:firstLine="8"/>
        <w:spacing w:after="0" w:line="252" w:lineRule="auto"/>
        <w:tabs>
          <w:tab w:leader="none" w:pos="362"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This Policy shall be administered by the Compensation Committee of the Board or, if so designated by the Board,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or another committee thereof (the “</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The Administrator is authorized to enforce and interpret this Policy and to make all determinations necessary, appropriate or advisable for the administration of this Policy. Any determinations made by the Administrator shall be final and binding on all affected persons and need not be uniform with respect to each person covered by this Policy. This Policy is designed to comply with, and shall be interpreted by the Administrator in a manner consistent with, Section 10D (“</w:t>
      </w:r>
      <w:r>
        <w:rPr>
          <w:rFonts w:ascii="Times New Roman" w:cs="Times New Roman" w:eastAsia="Times New Roman" w:hAnsi="Times New Roman"/>
          <w:sz w:val="20"/>
          <w:szCs w:val="20"/>
          <w:b w:val="1"/>
          <w:bCs w:val="1"/>
          <w:color w:val="auto"/>
        </w:rPr>
        <w:t>Section 10D</w:t>
      </w:r>
      <w:r>
        <w:rPr>
          <w:rFonts w:ascii="Times New Roman" w:cs="Times New Roman" w:eastAsia="Times New Roman" w:hAnsi="Times New Roman"/>
          <w:sz w:val="20"/>
          <w:szCs w:val="20"/>
          <w:color w:val="auto"/>
        </w:rPr>
        <w:t>”) of the Securities Exchange Act of 1934 (the “</w:t>
      </w:r>
      <w:r>
        <w:rPr>
          <w:rFonts w:ascii="Times New Roman" w:cs="Times New Roman" w:eastAsia="Times New Roman" w:hAnsi="Times New Roman"/>
          <w:sz w:val="20"/>
          <w:szCs w:val="20"/>
          <w:b w:val="1"/>
          <w:bCs w:val="1"/>
          <w:color w:val="auto"/>
        </w:rPr>
        <w:t>Exchange Ac</w:t>
      </w:r>
      <w:r>
        <w:rPr>
          <w:rFonts w:ascii="Times New Roman" w:cs="Times New Roman" w:eastAsia="Times New Roman" w:hAnsi="Times New Roman"/>
          <w:sz w:val="20"/>
          <w:szCs w:val="20"/>
          <w:color w:val="auto"/>
        </w:rPr>
        <w:t>t”), Rule 10D-1 promulgated under the Exchange Act (“</w:t>
      </w:r>
      <w:r>
        <w:rPr>
          <w:rFonts w:ascii="Times New Roman" w:cs="Times New Roman" w:eastAsia="Times New Roman" w:hAnsi="Times New Roman"/>
          <w:sz w:val="20"/>
          <w:szCs w:val="20"/>
          <w:b w:val="1"/>
          <w:b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color w:val="auto"/>
        </w:rPr>
        <w:t>Listing Standards</w:t>
      </w:r>
      <w:r>
        <w:rPr>
          <w:rFonts w:ascii="Times New Roman" w:cs="Times New Roman" w:eastAsia="Times New Roman" w:hAnsi="Times New Roman"/>
          <w:sz w:val="20"/>
          <w:szCs w:val="20"/>
          <w:color w:val="auto"/>
        </w:rPr>
        <w:t>”), each as may be amended from time to time. In the administration of this Policy, the Administrator is authorized to consult with the full Board or other committees of the Board, as well as retain any counsel, advisors and consultants.</w:t>
      </w:r>
    </w:p>
    <w:p>
      <w:pPr>
        <w:spacing w:after="0" w:line="175" w:lineRule="exact"/>
        <w:rPr>
          <w:rFonts w:ascii="Times New Roman" w:cs="Times New Roman" w:eastAsia="Times New Roman" w:hAnsi="Times New Roman"/>
          <w:sz w:val="20"/>
          <w:szCs w:val="20"/>
          <w:b w:val="1"/>
          <w:bCs w:val="1"/>
          <w:color w:val="auto"/>
        </w:rPr>
      </w:pPr>
    </w:p>
    <w:p>
      <w:pPr>
        <w:ind w:firstLine="8"/>
        <w:spacing w:after="0" w:line="287" w:lineRule="auto"/>
        <w:tabs>
          <w:tab w:leader="none" w:pos="441"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All capitalized terms used and not otherwise defined herein shall have the meanings set forth in Section 3 hereof.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of this Policy, the following capitalized terms shall have the meanings set forth below.</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225" w:val="left"/>
        </w:tabs>
        <w:numPr>
          <w:ilvl w:val="1"/>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“Accounting Restatement” </w:t>
      </w:r>
      <w:r>
        <w:rPr>
          <w:rFonts w:ascii="Times New Roman" w:cs="Times New Roman" w:eastAsia="Times New Roman" w:hAnsi="Times New Roman"/>
          <w:sz w:val="20"/>
          <w:szCs w:val="20"/>
          <w:color w:val="auto"/>
        </w:rPr>
        <w:t>means an accounting restatement of the Company’s financial statements due to the material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noncompliance of the Company with any financial reporting requirement under the securities laws, including any required accounting restatement to correct an error in previously issued financial statements (i) that is material to the previously issued financial statements, or (ii) that is not material to the previously issued financial statements but that would have resulted in a material misstatement if the error were corrected in the current period or left uncorrected in the current period.</w:t>
      </w:r>
    </w:p>
    <w:p>
      <w:pPr>
        <w:spacing w:after="0" w:line="167"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169" w:val="left"/>
        </w:tabs>
        <w:numPr>
          <w:ilvl w:val="1"/>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“Clawback Eligible Incentive Compensation” </w:t>
      </w:r>
      <w:r>
        <w:rPr>
          <w:rFonts w:ascii="Times New Roman" w:cs="Times New Roman" w:eastAsia="Times New Roman" w:hAnsi="Times New Roman"/>
          <w:sz w:val="20"/>
          <w:szCs w:val="20"/>
          <w:color w:val="auto"/>
        </w:rPr>
        <w:t>means all Incentive-Based Compensation Received by a Covered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 (i) on or after October 2, 2023, (ii) if that person served as a Covered Executive Officer at any time during the performance period for such Incentive-Based Compensation (whether or not such Covered Executive Officer is serving as an executive officer or employee of the Company at the time the Erroneously Awarded Compensation is required to be recovered by the Company), and (iii) while the Company had a class of securities listed on a national securities exchange or a national securities association.</w:t>
      </w:r>
    </w:p>
    <w:p>
      <w:pPr>
        <w:spacing w:after="0" w:line="167" w:lineRule="exact"/>
        <w:rPr>
          <w:rFonts w:ascii="Times New Roman" w:cs="Times New Roman" w:eastAsia="Times New Roman" w:hAnsi="Times New Roman"/>
          <w:sz w:val="20"/>
          <w:szCs w:val="20"/>
          <w:b w:val="1"/>
          <w:bCs w:val="1"/>
          <w:color w:val="auto"/>
        </w:rPr>
      </w:pPr>
    </w:p>
    <w:p>
      <w:pPr>
        <w:ind w:right="20" w:firstLine="656"/>
        <w:spacing w:after="0" w:line="287" w:lineRule="auto"/>
        <w:tabs>
          <w:tab w:leader="none" w:pos="1119" w:val="left"/>
        </w:tabs>
        <w:numPr>
          <w:ilvl w:val="1"/>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“Clawback Period” </w:t>
      </w:r>
      <w:r>
        <w:rPr>
          <w:rFonts w:ascii="Times New Roman" w:cs="Times New Roman" w:eastAsia="Times New Roman" w:hAnsi="Times New Roman"/>
          <w:sz w:val="20"/>
          <w:szCs w:val="20"/>
          <w:color w:val="auto"/>
        </w:rPr>
        <w:t>means with respect to any Accounting Restatement, (i) the three completed fiscal years of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immediately preceding the Restatement Date and (ii) any</w:t>
      </w:r>
    </w:p>
    <w:p>
      <w:pPr>
        <w:sectPr>
          <w:pgSz w:w="11900" w:h="16838" w:orient="portrait"/>
          <w:cols w:equalWidth="0" w:num="1">
            <w:col w:w="11240"/>
          </w:cols>
          <w:pgMar w:left="320" w:top="1440" w:right="339" w:bottom="1440" w:gutter="0" w:footer="0" w:header="0"/>
        </w:sectPr>
      </w:pPr>
    </w:p>
    <w:bookmarkStart w:id="84" w:name="page85"/>
    <w:bookmarkEnd w:id="84"/>
    <w:p>
      <w:pPr>
        <w:spacing w:after="0" w:line="54"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9"/>
          <w:szCs w:val="19"/>
          <w:color w:val="auto"/>
        </w:rPr>
        <w:t>transition period that results from a change in the Company’s fiscal year of less than nine months within or immediately following such three completed fiscal years, provided that a transition period that comprises a period of at least nine months shall count as a completed fiscal year.</w:t>
      </w:r>
    </w:p>
    <w:p>
      <w:pPr>
        <w:spacing w:after="0" w:line="134" w:lineRule="exact"/>
        <w:rPr>
          <w:sz w:val="20"/>
          <w:szCs w:val="20"/>
          <w:color w:val="auto"/>
        </w:rPr>
      </w:pPr>
    </w:p>
    <w:p>
      <w:pPr>
        <w:ind w:left="1100" w:hanging="444"/>
        <w:spacing w:after="0"/>
        <w:tabs>
          <w:tab w:leader="none" w:pos="110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“Code” </w:t>
      </w:r>
      <w:r>
        <w:rPr>
          <w:rFonts w:ascii="Times New Roman" w:cs="Times New Roman" w:eastAsia="Times New Roman" w:hAnsi="Times New Roman"/>
          <w:sz w:val="20"/>
          <w:szCs w:val="20"/>
          <w:color w:val="auto"/>
        </w:rPr>
        <w:t>means the Internal Revenue Code of 1986, as amended, and the regulations and guidance issued thereunder.</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119"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“Covered Executive Officer” </w:t>
      </w:r>
      <w:r>
        <w:rPr>
          <w:rFonts w:ascii="Times New Roman" w:cs="Times New Roman" w:eastAsia="Times New Roman" w:hAnsi="Times New Roman"/>
          <w:sz w:val="20"/>
          <w:szCs w:val="20"/>
          <w:color w:val="auto"/>
        </w:rPr>
        <w:t>means the Company’s current and former executive officers, as determined by the Board or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applicable committee in accordance with the definition of “executive officer” set forth in Rule 10D-1 and the Listing Standards. Unless determined otherwise by the Board or the Administrator, Covered Executive Officers for this Policy shall be any person designated by the Board as an “officer” under Rule 16a-1(f) under the Exchange Act.</w:t>
      </w:r>
    </w:p>
    <w:p>
      <w:pPr>
        <w:spacing w:after="0" w:line="177"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“Effective Date” </w:t>
      </w:r>
      <w:r>
        <w:rPr>
          <w:rFonts w:ascii="Times New Roman" w:cs="Times New Roman" w:eastAsia="Times New Roman" w:hAnsi="Times New Roman"/>
          <w:sz w:val="20"/>
          <w:szCs w:val="20"/>
          <w:color w:val="auto"/>
        </w:rPr>
        <w:t>means October 27, 2023.</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171"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“Erroneously Awarded Compensation” </w:t>
      </w:r>
      <w:r>
        <w:rPr>
          <w:rFonts w:ascii="Times New Roman" w:cs="Times New Roman" w:eastAsia="Times New Roman" w:hAnsi="Times New Roman"/>
          <w:sz w:val="20"/>
          <w:szCs w:val="20"/>
          <w:color w:val="auto"/>
        </w:rPr>
        <w:t>means with respect to each Covered Executive Officer and in connection with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Accounting Restatement, the amount of Clawback Eligible Incentive Compensation Received by the Covered Executive Officer during the Clawback Period that exceeds the amount of Clawback Eligible Incentive-Based Compensation that otherwise would have been Received by the Covered Executive Officer during the Clawback Period had it been determined based on the restated amounts, computed without regard to any taxes paid or payable by the Covered Executive Officer.</w:t>
      </w:r>
    </w:p>
    <w:p>
      <w:pPr>
        <w:spacing w:after="0" w:line="167"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22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“Financial Reporting Measures” </w:t>
      </w:r>
      <w:r>
        <w:rPr>
          <w:rFonts w:ascii="Times New Roman" w:cs="Times New Roman" w:eastAsia="Times New Roman" w:hAnsi="Times New Roman"/>
          <w:sz w:val="20"/>
          <w:szCs w:val="20"/>
          <w:color w:val="auto"/>
        </w:rPr>
        <w:t>means measures that are determined and presented in accordance with the accounting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principles used in preparing the Company’s financial statements, and any other measures that are derived wholly or in part from such measures. Financial Reporting Measures include GAAP and non-GAAP financial measures and include but are not limited to the following (and any measures derived wholly or in part therefrom): Company stock price; total shareholder return; revenues; net or operating income; profitability of one or more reportable segments; financial ratios; net assets or net asset value per share; EBITDA; funds from operations; liquidity measures; return measures; earnings measures; sales per square foot or same store sales; revenue per user, or average revenue per user; and any adjusted measure of any of the foregoing measures. For the avoidance of doubt, a Financial Reporting Measure need not be presented in the Company’s financial statements or included in a Company filing with the SEC.</w:t>
      </w:r>
    </w:p>
    <w:p>
      <w:pPr>
        <w:spacing w:after="0" w:line="187" w:lineRule="exact"/>
        <w:rPr>
          <w:rFonts w:ascii="Times New Roman" w:cs="Times New Roman" w:eastAsia="Times New Roman" w:hAnsi="Times New Roman"/>
          <w:sz w:val="20"/>
          <w:szCs w:val="20"/>
          <w:b w:val="1"/>
          <w:bCs w:val="1"/>
          <w:color w:val="auto"/>
        </w:rPr>
      </w:pPr>
    </w:p>
    <w:p>
      <w:pPr>
        <w:ind w:right="20" w:firstLine="656"/>
        <w:spacing w:after="0" w:line="273" w:lineRule="auto"/>
        <w:tabs>
          <w:tab w:leader="none" w:pos="1073"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“Incentive-Based Compensation” </w:t>
      </w:r>
      <w:r>
        <w:rPr>
          <w:rFonts w:ascii="Times New Roman" w:cs="Times New Roman" w:eastAsia="Times New Roman" w:hAnsi="Times New Roman"/>
          <w:sz w:val="20"/>
          <w:szCs w:val="20"/>
          <w:color w:val="auto"/>
        </w:rPr>
        <w:t>means any compensation that is granted, earned or vested based wholly or in part upon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attainment of a Financial Reporting Measure.</w:t>
      </w:r>
    </w:p>
    <w:p>
      <w:pPr>
        <w:spacing w:after="0" w:line="165"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084"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“Nasdaq” </w:t>
      </w:r>
      <w:r>
        <w:rPr>
          <w:rFonts w:ascii="Times New Roman" w:cs="Times New Roman" w:eastAsia="Times New Roman" w:hAnsi="Times New Roman"/>
          <w:sz w:val="20"/>
          <w:szCs w:val="20"/>
          <w:color w:val="auto"/>
        </w:rPr>
        <w:t>means The Nasdaq Stock Market or any other national securities exchange or association on which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securities are listed as of the applicable date.</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371"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“Received” </w:t>
      </w:r>
      <w:r>
        <w:rPr>
          <w:rFonts w:ascii="Times New Roman" w:cs="Times New Roman" w:eastAsia="Times New Roman" w:hAnsi="Times New Roman"/>
          <w:sz w:val="20"/>
          <w:szCs w:val="20"/>
          <w:color w:val="auto"/>
        </w:rPr>
        <w:t>means with respect to any Incentive-Based Compensation, actual or deemed receipt. Incentive-Based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shall be deemed to be Received in the Company’s fiscal period during which the Financial Reporting Measure specified in the Incentive-Based Compensation award is attained, even if payment or grant of the earned Incentive-Based Compensation occurs after the end of the performance period. For the avoidance of doubt, Incentive-Based Compensation that is subject to both a Financial Reporting Measure vesting condition and a service-based vesting condition shall be considered Received when the relevant Financial Reporting Measure is attained, even if the Incentive-Based Compensation continues to be subject to the service-based vesting condition.</w:t>
      </w:r>
    </w:p>
    <w:p>
      <w:pPr>
        <w:sectPr>
          <w:pgSz w:w="11900" w:h="16838" w:orient="portrait"/>
          <w:cols w:equalWidth="0" w:num="1">
            <w:col w:w="11240"/>
          </w:cols>
          <w:pgMar w:left="320" w:top="1440" w:right="339" w:bottom="1440" w:gutter="0" w:footer="0" w:header="0"/>
        </w:sectPr>
      </w:pPr>
    </w:p>
    <w:bookmarkStart w:id="85" w:name="page86"/>
    <w:bookmarkEnd w:id="85"/>
    <w:p>
      <w:pPr>
        <w:spacing w:after="0" w:line="50" w:lineRule="exact"/>
        <w:rPr>
          <w:sz w:val="20"/>
          <w:szCs w:val="20"/>
          <w:color w:val="auto"/>
        </w:rPr>
      </w:pPr>
    </w:p>
    <w:p>
      <w:pPr>
        <w:jc w:val="both"/>
        <w:ind w:left="-8" w:firstLine="656"/>
        <w:spacing w:after="0" w:line="260" w:lineRule="auto"/>
        <w:tabs>
          <w:tab w:leader="none" w:pos="1092" w:val="left"/>
        </w:tabs>
        <w:numPr>
          <w:ilvl w:val="1"/>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“Restatement Date” </w:t>
      </w:r>
      <w:r>
        <w:rPr>
          <w:rFonts w:ascii="Times New Roman" w:cs="Times New Roman" w:eastAsia="Times New Roman" w:hAnsi="Times New Roman"/>
          <w:sz w:val="20"/>
          <w:szCs w:val="20"/>
          <w:color w:val="auto"/>
        </w:rPr>
        <w:t>means the earlier to occur of (i) the date that the Board, a committee thereof or any of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officers authorized to take such action if Board action is not required concluded, or reasonably should have concluded, that the Company is required to prepare an Accounting Restatement; or (ii) the date that a court, regulator or other legally authorized body directs the Company to prepare an Accounting Restatement, in each case regardless of when the restated financial statements are filed.</w:t>
      </w:r>
    </w:p>
    <w:p>
      <w:pPr>
        <w:spacing w:after="0" w:line="177" w:lineRule="exact"/>
        <w:rPr>
          <w:rFonts w:ascii="Times New Roman" w:cs="Times New Roman" w:eastAsia="Times New Roman" w:hAnsi="Times New Roman"/>
          <w:sz w:val="20"/>
          <w:szCs w:val="20"/>
          <w:b w:val="1"/>
          <w:bCs w:val="1"/>
          <w:color w:val="auto"/>
        </w:rPr>
      </w:pPr>
    </w:p>
    <w:p>
      <w:pPr>
        <w:ind w:left="1152" w:hanging="504"/>
        <w:spacing w:after="0"/>
        <w:tabs>
          <w:tab w:leader="none" w:pos="1152" w:val="left"/>
        </w:tabs>
        <w:numPr>
          <w:ilvl w:val="1"/>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“SEC” </w:t>
      </w:r>
      <w:r>
        <w:rPr>
          <w:rFonts w:ascii="Times New Roman" w:cs="Times New Roman" w:eastAsia="Times New Roman" w:hAnsi="Times New Roman"/>
          <w:sz w:val="20"/>
          <w:szCs w:val="20"/>
          <w:color w:val="auto"/>
        </w:rPr>
        <w:t>means the U.S. Securities and Exchange Commission.</w:t>
      </w:r>
    </w:p>
    <w:p>
      <w:pPr>
        <w:spacing w:after="0" w:line="215" w:lineRule="exact"/>
        <w:rPr>
          <w:rFonts w:ascii="Times New Roman" w:cs="Times New Roman" w:eastAsia="Times New Roman" w:hAnsi="Times New Roman"/>
          <w:sz w:val="20"/>
          <w:szCs w:val="20"/>
          <w:b w:val="1"/>
          <w:bCs w:val="1"/>
          <w:color w:val="auto"/>
        </w:rPr>
      </w:pPr>
    </w:p>
    <w:p>
      <w:pPr>
        <w:ind w:left="1092" w:hanging="444"/>
        <w:spacing w:after="0"/>
        <w:tabs>
          <w:tab w:leader="none" w:pos="1092" w:val="left"/>
        </w:tabs>
        <w:numPr>
          <w:ilvl w:val="1"/>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“Section 409A” </w:t>
      </w:r>
      <w:r>
        <w:rPr>
          <w:rFonts w:ascii="Times New Roman" w:cs="Times New Roman" w:eastAsia="Times New Roman" w:hAnsi="Times New Roman"/>
          <w:sz w:val="20"/>
          <w:szCs w:val="20"/>
          <w:color w:val="auto"/>
        </w:rPr>
        <w:t>means Section 409A of the Code and the regulations and guidance issued thereunder.</w:t>
      </w:r>
    </w:p>
    <w:p>
      <w:pPr>
        <w:spacing w:after="0" w:line="229" w:lineRule="exact"/>
        <w:rPr>
          <w:rFonts w:ascii="Times New Roman" w:cs="Times New Roman" w:eastAsia="Times New Roman" w:hAnsi="Times New Roman"/>
          <w:sz w:val="20"/>
          <w:szCs w:val="20"/>
          <w:b w:val="1"/>
          <w:bCs w:val="1"/>
          <w:color w:val="auto"/>
        </w:rPr>
      </w:pPr>
    </w:p>
    <w:p>
      <w:pPr>
        <w:ind w:left="352" w:hanging="352"/>
        <w:spacing w:after="0"/>
        <w:tabs>
          <w:tab w:leader="none" w:pos="352"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Recovery of Erroneously Awarded Compensation.</w:t>
      </w:r>
    </w:p>
    <w:p>
      <w:pPr>
        <w:spacing w:after="0" w:line="233" w:lineRule="exact"/>
        <w:rPr>
          <w:rFonts w:ascii="Times New Roman" w:cs="Times New Roman" w:eastAsia="Times New Roman" w:hAnsi="Times New Roman"/>
          <w:sz w:val="20"/>
          <w:szCs w:val="20"/>
          <w:b w:val="1"/>
          <w:bCs w:val="1"/>
          <w:color w:val="auto"/>
        </w:rPr>
      </w:pPr>
    </w:p>
    <w:p>
      <w:pPr>
        <w:jc w:val="both"/>
        <w:ind w:left="-8" w:firstLine="656"/>
        <w:spacing w:after="0" w:line="250" w:lineRule="auto"/>
        <w:tabs>
          <w:tab w:leader="none" w:pos="1149" w:val="left"/>
        </w:tabs>
        <w:numPr>
          <w:ilvl w:val="1"/>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an Accounting Restatement, the Administrator shall reasonably promptly recover any Erroneously Awarded Compensation in a manner set forth in this Section 4. In connection therewith, the Administrator shall reasonably promptly (A) determine the amount of any Erroneously Awarded Compensation for each Covered Executive Officer in connection with such Accounting Restatement and (B) thereafter provide each Covered Executive Officer with a written notice containing the amount of Erroneously Awarded Compensation, the applicable methodology and calculation of such amount, and the method of recovery, as applicable. Prior to sending any such formal demand for recovery as determined pursuant to this Policy, the Administrator may, in its sole discretion depending on the specific facts and circumstances, provide a Covered Executive Officer with an initial written notice containing the foregoing information, and may provide the Covered Executive Officer with the opportunity to be heard at a meeting or otherwise respond in writing to such information.</w:t>
      </w:r>
    </w:p>
    <w:p>
      <w:pPr>
        <w:spacing w:after="0" w:line="192" w:lineRule="exact"/>
        <w:rPr>
          <w:rFonts w:ascii="Times New Roman" w:cs="Times New Roman" w:eastAsia="Times New Roman" w:hAnsi="Times New Roman"/>
          <w:sz w:val="20"/>
          <w:szCs w:val="20"/>
          <w:b w:val="1"/>
          <w:bCs w:val="1"/>
          <w:color w:val="auto"/>
        </w:rPr>
      </w:pPr>
    </w:p>
    <w:p>
      <w:pPr>
        <w:jc w:val="both"/>
        <w:ind w:left="-8" w:firstLine="1304"/>
        <w:spacing w:after="0" w:line="261" w:lineRule="auto"/>
        <w:tabs>
          <w:tab w:leader="none" w:pos="1686" w:val="left"/>
        </w:tabs>
        <w:numPr>
          <w:ilvl w:val="2"/>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Recovery under this Policy with respect to a Covered Executive Officer shall not require the finding of any misconduct by such Covered Executive Officer or such Covered Executive Officer being found responsible for the accounting error leading to an Accounting Restatement.</w:t>
      </w:r>
    </w:p>
    <w:p>
      <w:pPr>
        <w:spacing w:after="0" w:line="181" w:lineRule="exact"/>
        <w:rPr>
          <w:rFonts w:ascii="Times New Roman" w:cs="Times New Roman" w:eastAsia="Times New Roman" w:hAnsi="Times New Roman"/>
          <w:sz w:val="20"/>
          <w:szCs w:val="20"/>
          <w:b w:val="1"/>
          <w:bCs w:val="1"/>
          <w:color w:val="auto"/>
        </w:rPr>
      </w:pPr>
    </w:p>
    <w:p>
      <w:pPr>
        <w:jc w:val="both"/>
        <w:ind w:left="-8" w:firstLine="1304"/>
        <w:spacing w:after="0" w:line="253" w:lineRule="auto"/>
        <w:tabs>
          <w:tab w:leader="none" w:pos="1822" w:val="left"/>
        </w:tabs>
        <w:numPr>
          <w:ilvl w:val="2"/>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Incentive-Based Compensation based on (or derived from) stock price or total shareholder return (or a similar Financial Reporting Measure)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(or such similar Financial Reporting Measure) upon which the Incentive-Based Compensation was Received; provided that the Company shall maintain documentation of the determination of such reasonable estimate and provide such documentation to Nasdaq).</w:t>
      </w:r>
    </w:p>
    <w:p>
      <w:pPr>
        <w:spacing w:after="0" w:line="178" w:lineRule="exact"/>
        <w:rPr>
          <w:rFonts w:ascii="Times New Roman" w:cs="Times New Roman" w:eastAsia="Times New Roman" w:hAnsi="Times New Roman"/>
          <w:sz w:val="20"/>
          <w:szCs w:val="20"/>
          <w:b w:val="1"/>
          <w:bCs w:val="1"/>
          <w:color w:val="auto"/>
        </w:rPr>
      </w:pPr>
    </w:p>
    <w:p>
      <w:pPr>
        <w:jc w:val="both"/>
        <w:ind w:left="-8" w:right="20" w:firstLine="1304"/>
        <w:spacing w:after="0" w:line="258" w:lineRule="auto"/>
        <w:tabs>
          <w:tab w:leader="none" w:pos="1796" w:val="left"/>
        </w:tabs>
        <w:numPr>
          <w:ilvl w:val="2"/>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Where Incentive-Based Compensation is based only in part on the achievement of a Financial Reporting Measure, the Administrator shall first determine the portion of the original Incentive-Based Compensation that was based on the Financial Reporting Measure that was restated in the Accounting Restatement. The Administrator shall then recalculate the affected portion based on the Financial Reporting Measure as restated, and recover the Erroneously Awarded Compensation.</w:t>
      </w:r>
    </w:p>
    <w:p>
      <w:pPr>
        <w:spacing w:after="0" w:line="185" w:lineRule="exact"/>
        <w:rPr>
          <w:rFonts w:ascii="Times New Roman" w:cs="Times New Roman" w:eastAsia="Times New Roman" w:hAnsi="Times New Roman"/>
          <w:sz w:val="20"/>
          <w:szCs w:val="20"/>
          <w:b w:val="1"/>
          <w:bCs w:val="1"/>
          <w:color w:val="auto"/>
        </w:rPr>
      </w:pPr>
    </w:p>
    <w:p>
      <w:pPr>
        <w:jc w:val="both"/>
        <w:ind w:left="-8" w:firstLine="1304"/>
        <w:spacing w:after="0" w:line="254" w:lineRule="auto"/>
        <w:tabs>
          <w:tab w:leader="none" w:pos="1785" w:val="left"/>
        </w:tabs>
        <w:numPr>
          <w:ilvl w:val="2"/>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determine Erroneously Awarded Compensation for cash incentive awards determined for a pool of participants, the size of the aggregate pool from which individual awards were paid shall be reduced by applying the Financial Reporting Measure that was restated in the Accounting Restatement, and the individual awards shall be reduced on a pro rata basis (with recovery required from the Covered Executive Officers only).</w:t>
      </w:r>
    </w:p>
    <w:p>
      <w:pPr>
        <w:sectPr>
          <w:pgSz w:w="11900" w:h="16838" w:orient="portrait"/>
          <w:cols w:equalWidth="0" w:num="1">
            <w:col w:w="11232"/>
          </w:cols>
          <w:pgMar w:left="328" w:top="1440" w:right="339" w:bottom="1440" w:gutter="0" w:footer="0" w:header="0"/>
        </w:sectPr>
      </w:pPr>
    </w:p>
    <w:bookmarkStart w:id="86" w:name="page87"/>
    <w:bookmarkEnd w:id="86"/>
    <w:p>
      <w:pPr>
        <w:spacing w:after="0" w:line="54" w:lineRule="exact"/>
        <w:rPr>
          <w:sz w:val="20"/>
          <w:szCs w:val="20"/>
          <w:color w:val="auto"/>
        </w:rPr>
      </w:pPr>
    </w:p>
    <w:p>
      <w:pPr>
        <w:jc w:val="both"/>
        <w:ind w:left="-8" w:firstLine="1304"/>
        <w:spacing w:after="0" w:line="268" w:lineRule="auto"/>
        <w:tabs>
          <w:tab w:leader="none" w:pos="1730" w:val="left"/>
        </w:tabs>
        <w:numPr>
          <w:ilvl w:val="1"/>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161" w:lineRule="exact"/>
        <w:rPr>
          <w:rFonts w:ascii="Times New Roman" w:cs="Times New Roman" w:eastAsia="Times New Roman" w:hAnsi="Times New Roman"/>
          <w:sz w:val="20"/>
          <w:szCs w:val="20"/>
          <w:b w:val="1"/>
          <w:bCs w:val="1"/>
          <w:color w:val="auto"/>
        </w:rPr>
      </w:pPr>
    </w:p>
    <w:p>
      <w:pPr>
        <w:jc w:val="both"/>
        <w:ind w:left="-8" w:firstLine="656"/>
        <w:spacing w:after="0" w:line="250" w:lineRule="auto"/>
        <w:tabs>
          <w:tab w:leader="none" w:pos="1188"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Administrator shall have broad discretion to determine the appropriate timing and means of recovery of Erroneously Awarded Compensation based on the particular facts and circumstances, subject to applicable law, including but not limited to (i) requiring reimbursement of all or part of any paid cash award, (ii) seeking recovery or forfeiture of any gain realized on the vesting, exercise, settlement, sale, transfer or other disposition of any equity-based awards, (iii) cancelling or reducing any outstanding cash or equity-based awards, whether vested or unvested, (iv) cancelling or offsetting against any planned future cash or equity-based awards, (v) forfeiture of deferred compensation, (vi) offsetting any compensation amount otherwise payable by the Company (or any of its affiliates or subsidiaries) to the Covered Executive Officer in the future, and (vii) any other method authorized by applicable law or contract as determined by the Administrator. Any method elected by the Administrator shall comply with Section 409A. For the avoidance of doubt, except as set forth in Section 4(d) hereof or as required by applicable law, in no event may the Company accept an amount that is less than the amount of Erroneously Awarded Compensation in satisfaction of a Covered Executive Officer’s obligations hereunder and to the extent permitted by law, the Company may reduce a Covered Executive Officer’s taxable income by the Erroneously Awarded Compensation. If applicable, the Company will provide a Covered Executive Officer with amended or revised tax forms or filings related to the Erroneously Awarded Compensation.</w:t>
      </w:r>
    </w:p>
    <w:p>
      <w:pPr>
        <w:spacing w:after="0" w:line="193" w:lineRule="exact"/>
        <w:rPr>
          <w:rFonts w:ascii="Times New Roman" w:cs="Times New Roman" w:eastAsia="Times New Roman" w:hAnsi="Times New Roman"/>
          <w:sz w:val="20"/>
          <w:szCs w:val="20"/>
          <w:b w:val="1"/>
          <w:bCs w:val="1"/>
          <w:color w:val="auto"/>
        </w:rPr>
      </w:pPr>
    </w:p>
    <w:p>
      <w:pPr>
        <w:jc w:val="both"/>
        <w:ind w:left="-8" w:firstLine="656"/>
        <w:spacing w:after="0" w:line="253" w:lineRule="auto"/>
        <w:tabs>
          <w:tab w:leader="none" w:pos="1057"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that a Covered Executive Officer fails to repay all Erroneously Awarded Compensation to the Company when due (as determined in accordance with Section 4(b) hereof), the Company shall take all reasonable and appropriate actions to recover such Erroneously Awarded Compensation from the applicable Covered Executive Officer. The applicable Covered Executive Officer shall be required to reimburse the Company for any and all expenses reasonably incurred (including legal fees) by the Company (or any of its affiliates or subsidiaries) in recovering such Erroneously Awarded Compensation in accordance with the immediately preceding sentence.</w:t>
      </w:r>
    </w:p>
    <w:p>
      <w:pPr>
        <w:spacing w:after="0" w:line="191" w:lineRule="exact"/>
        <w:rPr>
          <w:rFonts w:ascii="Times New Roman" w:cs="Times New Roman" w:eastAsia="Times New Roman" w:hAnsi="Times New Roman"/>
          <w:sz w:val="20"/>
          <w:szCs w:val="20"/>
          <w:b w:val="1"/>
          <w:bCs w:val="1"/>
          <w:color w:val="auto"/>
        </w:rPr>
      </w:pPr>
    </w:p>
    <w:p>
      <w:pPr>
        <w:jc w:val="both"/>
        <w:ind w:left="-8" w:firstLine="656"/>
        <w:spacing w:after="0" w:line="253" w:lineRule="auto"/>
        <w:tabs>
          <w:tab w:leader="none" w:pos="1269"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anything herein to the contrary, the Company shall not be required to recover Erroneously Awarded Compensation, including taking the actions contemplated by this Section 4, if the Compensation Committee (or, if the Compensation Committee is not composed solely of independent directors under the Listing Standards, a majority of independent directors serving on the Board) determines that recovery would be impracticable solely for one of the following limited reasons and subject to the procedural and disclosure requirements below and in the applicable law or regulations:</w:t>
      </w:r>
    </w:p>
    <w:p>
      <w:pPr>
        <w:spacing w:after="0" w:line="191" w:lineRule="exact"/>
        <w:rPr>
          <w:rFonts w:ascii="Times New Roman" w:cs="Times New Roman" w:eastAsia="Times New Roman" w:hAnsi="Times New Roman"/>
          <w:sz w:val="20"/>
          <w:szCs w:val="20"/>
          <w:b w:val="1"/>
          <w:bCs w:val="1"/>
          <w:color w:val="auto"/>
        </w:rPr>
      </w:pPr>
    </w:p>
    <w:p>
      <w:pPr>
        <w:jc w:val="both"/>
        <w:ind w:left="-8" w:firstLine="1304"/>
        <w:spacing w:after="0" w:line="261" w:lineRule="auto"/>
        <w:tabs>
          <w:tab w:leader="none" w:pos="1727" w:val="left"/>
        </w:tabs>
        <w:numPr>
          <w:ilvl w:val="1"/>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 expenses paid to a third party to assist in enforcing this Policy against a Covered Executive Officer would exceed the amount of Erroneously Awarded Compensation, after the Company has made a reasonable attempt to recover the applicable Erroneously Awarded Compensation, documented such attempt and provided such documentation to Nasdaq; or</w:t>
      </w:r>
    </w:p>
    <w:p>
      <w:pPr>
        <w:spacing w:after="0" w:line="181" w:lineRule="exact"/>
        <w:rPr>
          <w:sz w:val="20"/>
          <w:szCs w:val="20"/>
          <w:color w:val="auto"/>
        </w:rPr>
      </w:pPr>
    </w:p>
    <w:p>
      <w:pPr>
        <w:ind w:left="-8" w:firstLine="1304"/>
        <w:spacing w:after="0" w:line="269" w:lineRule="auto"/>
        <w:tabs>
          <w:tab w:leader="none" w:pos="1754" w:val="left"/>
        </w:tabs>
        <w:numPr>
          <w:ilvl w:val="1"/>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Recovery would likely cause a tax-qualified retirement plan, under which benefits are broadly available to employees of the Company, to fail to meet the requirements of Section 401(a)(13) or Section 411(a) of the Code, and the regulations thereunder.</w:t>
      </w:r>
    </w:p>
    <w:p>
      <w:pPr>
        <w:spacing w:after="0" w:line="168" w:lineRule="exact"/>
        <w:rPr>
          <w:rFonts w:ascii="Times New Roman" w:cs="Times New Roman" w:eastAsia="Times New Roman" w:hAnsi="Times New Roman"/>
          <w:sz w:val="20"/>
          <w:szCs w:val="20"/>
          <w:b w:val="1"/>
          <w:bCs w:val="1"/>
          <w:color w:val="auto"/>
        </w:rPr>
      </w:pPr>
    </w:p>
    <w:p>
      <w:pPr>
        <w:ind w:left="-8" w:right="20" w:firstLine="8"/>
        <w:spacing w:after="0" w:line="273" w:lineRule="auto"/>
        <w:tabs>
          <w:tab w:leader="none" w:pos="347"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 and Disclosure</w:t>
      </w:r>
      <w:r>
        <w:rPr>
          <w:rFonts w:ascii="Times New Roman" w:cs="Times New Roman" w:eastAsia="Times New Roman" w:hAnsi="Times New Roman"/>
          <w:sz w:val="20"/>
          <w:szCs w:val="20"/>
          <w:color w:val="auto"/>
        </w:rPr>
        <w:t>. The Company shall file all disclosures with respect to this Policy in accordance with federal securities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the disclosure required in any applicable SEC filings.</w:t>
      </w:r>
    </w:p>
    <w:p>
      <w:pPr>
        <w:sectPr>
          <w:pgSz w:w="11900" w:h="16838" w:orient="portrait"/>
          <w:cols w:equalWidth="0" w:num="1">
            <w:col w:w="11232"/>
          </w:cols>
          <w:pgMar w:left="328" w:top="1440" w:right="339" w:bottom="1440" w:gutter="0" w:footer="0" w:header="0"/>
        </w:sectPr>
      </w:pPr>
    </w:p>
    <w:bookmarkStart w:id="87" w:name="page88"/>
    <w:bookmarkEnd w:id="87"/>
    <w:p>
      <w:pPr>
        <w:spacing w:after="0" w:line="50" w:lineRule="exact"/>
        <w:rPr>
          <w:sz w:val="20"/>
          <w:szCs w:val="20"/>
          <w:color w:val="auto"/>
        </w:rPr>
      </w:pPr>
    </w:p>
    <w:p>
      <w:pPr>
        <w:jc w:val="both"/>
        <w:ind w:left="-8" w:firstLine="8"/>
        <w:spacing w:after="0" w:line="254" w:lineRule="auto"/>
        <w:tabs>
          <w:tab w:leader="none" w:pos="338"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 and Insurance Prohibition</w:t>
      </w:r>
      <w:r>
        <w:rPr>
          <w:rFonts w:ascii="Times New Roman" w:cs="Times New Roman" w:eastAsia="Times New Roman" w:hAnsi="Times New Roman"/>
          <w:sz w:val="20"/>
          <w:szCs w:val="20"/>
          <w:color w:val="auto"/>
        </w:rPr>
        <w:t>. The Company (or any of its affiliates or subsidiaries) shall not insure (or reimburse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of insurance) or indemnify any Covered Executive Officer against (i) the loss of any Erroneously Awarded Compensation that is repaid, returned, recovered, cancelled or forfeited pursuant to the terms of this Policy, or (ii) any claims relating to the Company’s enforcement of its rights under this Policy. Further, the Company (or any of its affiliates or subsidiaries)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w:t>
      </w:r>
    </w:p>
    <w:p>
      <w:pPr>
        <w:spacing w:after="0" w:line="186" w:lineRule="exact"/>
        <w:rPr>
          <w:rFonts w:ascii="Times New Roman" w:cs="Times New Roman" w:eastAsia="Times New Roman" w:hAnsi="Times New Roman"/>
          <w:sz w:val="20"/>
          <w:szCs w:val="20"/>
          <w:b w:val="1"/>
          <w:bCs w:val="1"/>
          <w:color w:val="auto"/>
        </w:rPr>
      </w:pPr>
    </w:p>
    <w:p>
      <w:pPr>
        <w:jc w:val="both"/>
        <w:ind w:left="-8" w:firstLine="8"/>
        <w:spacing w:after="0" w:line="263" w:lineRule="auto"/>
        <w:tabs>
          <w:tab w:leader="none" w:pos="36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Policy shall be effective as of the Effective Date. Subject to applicable law, the Administrator may effect recovery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Policy from any amount of compensation approved, awarded, granted, payable or paid to the Covered Executive prior to, on or after the Effective Date.</w:t>
      </w:r>
    </w:p>
    <w:p>
      <w:pPr>
        <w:spacing w:after="0" w:line="161" w:lineRule="exact"/>
        <w:rPr>
          <w:rFonts w:ascii="Times New Roman" w:cs="Times New Roman" w:eastAsia="Times New Roman" w:hAnsi="Times New Roman"/>
          <w:sz w:val="20"/>
          <w:szCs w:val="20"/>
          <w:b w:val="1"/>
          <w:bCs w:val="1"/>
          <w:color w:val="auto"/>
        </w:rPr>
      </w:pPr>
    </w:p>
    <w:p>
      <w:pPr>
        <w:jc w:val="both"/>
        <w:ind w:left="-8" w:firstLine="8"/>
        <w:spacing w:after="0" w:line="254" w:lineRule="auto"/>
        <w:tabs>
          <w:tab w:leader="none" w:pos="349"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w:t>
      </w:r>
      <w:r>
        <w:rPr>
          <w:rFonts w:ascii="Times New Roman" w:cs="Times New Roman" w:eastAsia="Times New Roman" w:hAnsi="Times New Roman"/>
          <w:sz w:val="20"/>
          <w:szCs w:val="20"/>
          <w:color w:val="auto"/>
        </w:rPr>
        <w:t>. The Board or Administrator may amend this Policy from time to time in its discretion and shall amend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Policy as it deems necessary, including as and when it determines that it is legally required by any federal securities laws or Nasdaq rules or to comply with (or maintain an exemption from the application of) Section 409A. The Board or Administrator may terminate this Policy at any time. Notwithstanding anything in this Section 8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spacing w:after="0" w:line="186" w:lineRule="exact"/>
        <w:rPr>
          <w:rFonts w:ascii="Times New Roman" w:cs="Times New Roman" w:eastAsia="Times New Roman" w:hAnsi="Times New Roman"/>
          <w:sz w:val="20"/>
          <w:szCs w:val="20"/>
          <w:b w:val="1"/>
          <w:bCs w:val="1"/>
          <w:color w:val="auto"/>
        </w:rPr>
      </w:pPr>
    </w:p>
    <w:p>
      <w:pPr>
        <w:jc w:val="both"/>
        <w:ind w:left="-8" w:firstLine="8"/>
        <w:spacing w:after="0" w:line="251" w:lineRule="auto"/>
        <w:tabs>
          <w:tab w:leader="none" w:pos="56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Recoupment Rights; No Additional Payments</w:t>
      </w:r>
      <w:r>
        <w:rPr>
          <w:rFonts w:ascii="Times New Roman" w:cs="Times New Roman" w:eastAsia="Times New Roman" w:hAnsi="Times New Roman"/>
          <w:sz w:val="20"/>
          <w:szCs w:val="20"/>
          <w:color w:val="auto"/>
        </w:rPr>
        <w:t>. Any employment agreement, cash or equity-based award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compensatory plan or any other agreement or arrangement with a Covered Executive Officer shall be deemed to include, as a condition to the grant of any benefit thereunder, an agreement by the Covered Executive Officer to abide by the terms of this Policy. Any right of recoupment under this Policy is in addition to, and not in lieu of, any other remedies or rights of recoupment that may be available to the Company (or any of its affiliates or subsidiaries), including under applicable law, regulation or rule or pursuant to the terms of any employment or severance agreement, cash or equity-based award agreement, plan or policy, or similar agreement, plan or policy with the Company (or any of its affiliates or subsidiaries). To the extent that the Covered Executive Officer has already reimbursed the Company (or any of its affiliates or subsidiaries) for any Erroneously Awarded Compensation Received under any duplicative recovery obligations established by the Company (or any of its affiliates or subsidiaries) and subject to applicable law, such reimbursed amount shall be credited to the amount of Erroneously Awarded Compensation that is subject to recovery under this Policy.</w:t>
      </w:r>
    </w:p>
    <w:p>
      <w:pPr>
        <w:spacing w:after="0" w:line="186" w:lineRule="exact"/>
        <w:rPr>
          <w:rFonts w:ascii="Times New Roman" w:cs="Times New Roman" w:eastAsia="Times New Roman" w:hAnsi="Times New Roman"/>
          <w:sz w:val="20"/>
          <w:szCs w:val="20"/>
          <w:b w:val="1"/>
          <w:bCs w:val="1"/>
          <w:color w:val="auto"/>
        </w:rPr>
      </w:pPr>
    </w:p>
    <w:p>
      <w:pPr>
        <w:jc w:val="both"/>
        <w:ind w:left="-8" w:firstLine="8"/>
        <w:spacing w:after="0" w:line="260" w:lineRule="auto"/>
        <w:tabs>
          <w:tab w:leader="none" w:pos="437"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provisions in this Policy are intended to be applied to the fullest extent of the law. To the extent that any provision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164" w:lineRule="exact"/>
        <w:rPr>
          <w:rFonts w:ascii="Times New Roman" w:cs="Times New Roman" w:eastAsia="Times New Roman" w:hAnsi="Times New Roman"/>
          <w:sz w:val="20"/>
          <w:szCs w:val="20"/>
          <w:b w:val="1"/>
          <w:bCs w:val="1"/>
          <w:color w:val="auto"/>
        </w:rPr>
      </w:pPr>
    </w:p>
    <w:p>
      <w:pPr>
        <w:ind w:left="-8" w:firstLine="8"/>
        <w:spacing w:after="0" w:line="287" w:lineRule="auto"/>
        <w:tabs>
          <w:tab w:leader="none" w:pos="588"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r>
        <w:rPr>
          <w:rFonts w:ascii="Times New Roman" w:cs="Times New Roman" w:eastAsia="Times New Roman" w:hAnsi="Times New Roman"/>
          <w:sz w:val="20"/>
          <w:szCs w:val="20"/>
          <w:color w:val="auto"/>
        </w:rPr>
        <w:t>. This Policy shall be binding and enforceable against all Covered Executive Officers and their beneficiaries, heirs,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executors, administrators or other legal representatives.</w:t>
      </w:r>
    </w:p>
    <w:p>
      <w:pPr>
        <w:spacing w:after="0" w:line="142" w:lineRule="exact"/>
        <w:rPr>
          <w:rFonts w:ascii="Times New Roman" w:cs="Times New Roman" w:eastAsia="Times New Roman" w:hAnsi="Times New Roman"/>
          <w:sz w:val="20"/>
          <w:szCs w:val="20"/>
          <w:b w:val="1"/>
          <w:bCs w:val="1"/>
          <w:color w:val="auto"/>
        </w:rPr>
      </w:pPr>
    </w:p>
    <w:p>
      <w:pPr>
        <w:ind w:left="527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  *</w:t>
      </w:r>
    </w:p>
    <w:p>
      <w:pPr>
        <w:sectPr>
          <w:pgSz w:w="11900" w:h="16838" w:orient="portrait"/>
          <w:cols w:equalWidth="0" w:num="1">
            <w:col w:w="11232"/>
          </w:cols>
          <w:pgMar w:left="328" w:top="1440" w:right="339" w:bottom="1440" w:gutter="0" w:footer="0" w:header="0"/>
        </w:sectPr>
      </w:pPr>
    </w:p>
    <w:bookmarkStart w:id="88" w:name="page89"/>
    <w:bookmarkEnd w:id="88"/>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4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GIBRALTAR INDUSTRIES, INC.</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POLICY FOR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RECOVERY OF ERRONEOUSLY AWARDED COMPENSATION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COVERED EXECUTIVE OFFICER ACKNOWLEDGEMENT FORM</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Gibraltar Industries, Inc. Policy for the Recovery of Erroneously Awarded Compensation (as may be amended, restated, supplemented or otherwise modified from time to time, the“</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Capitalized terms used but not otherwise defined in this Acknowledgement Form (the“</w:t>
      </w:r>
      <w:r>
        <w:rPr>
          <w:rFonts w:ascii="Times New Roman" w:cs="Times New Roman" w:eastAsia="Times New Roman" w:hAnsi="Times New Roman"/>
          <w:sz w:val="20"/>
          <w:szCs w:val="20"/>
          <w:b w:val="1"/>
          <w:bCs w:val="1"/>
          <w:i w:val="1"/>
          <w:iCs w:val="1"/>
          <w:color w:val="auto"/>
        </w:rPr>
        <w:t>Acknowledgement Form</w:t>
      </w:r>
      <w:r>
        <w:rPr>
          <w:rFonts w:ascii="Times New Roman" w:cs="Times New Roman" w:eastAsia="Times New Roman" w:hAnsi="Times New Roman"/>
          <w:sz w:val="20"/>
          <w:szCs w:val="20"/>
          <w:color w:val="auto"/>
        </w:rPr>
        <w:t>”) shall have the meanings ascribed to such terms in the Policy.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By signing this Acknowledgement Form, the undersigned acknowledges and agrees that the undersigned is and will continue to be subject to the Policy and that the Policy will apply both during and after the undersigned’s employment with the Company (or any of its subsidiaries or affiliates). In the event of any inconsistency between the Policy and the terms of any employment or separation agreement to which I am a party, or the terms of any compensation or severance plan, program or agreement under which any compensation has been granted, awarded, earned or paid, the terms of the Policy shall govern. In the event it is determined by the Administrator that the Erroneously Awarded Compensation must be returned, forfeited or reimbursed to the Company, I will promptly take any action necessary to effectuate such recovery in any manner permitted by the Policy and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316865</wp:posOffset>
            </wp:positionV>
            <wp:extent cx="29743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i w:val="1"/>
          <w:iCs w:val="1"/>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368300</wp:posOffset>
            </wp:positionV>
            <wp:extent cx="29743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i w:val="1"/>
          <w:iCs w:val="1"/>
          <w:color w:val="auto"/>
        </w:rPr>
        <w:t>[Date]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3"/>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decimal"/>
      <w:start w:val="6"/>
    </w:lvl>
  </w:abstractNum>
  <w:abstractNum w:abstractNumId="14">
    <w:nsid w:val="B03E0C6"/>
    <w:multiLevelType w:val="hybridMultilevel"/>
    <w:lvl w:ilvl="0">
      <w:lvlJc w:val="left"/>
      <w:lvlText w:val="(%1)"/>
      <w:numFmt w:val="decimal"/>
      <w:start w:val="7"/>
    </w:lvl>
  </w:abstractNum>
  <w:abstractNum w:abstractNumId="15">
    <w:nsid w:val="189A769B"/>
    <w:multiLevelType w:val="hybridMultilevel"/>
    <w:lvl w:ilvl="0">
      <w:lvlJc w:val="left"/>
      <w:lvlText w:val="(%1)"/>
      <w:numFmt w:val="lowerLetter"/>
      <w:start w:val="2"/>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lowerRoman"/>
      <w:start w:val="1"/>
    </w:lvl>
  </w:abstractNum>
  <w:abstractNum w:abstractNumId="21">
    <w:nsid w:val="3A95F874"/>
    <w:multiLevelType w:val="hybridMultilevel"/>
    <w:lvl w:ilvl="0">
      <w:lvlJc w:val="left"/>
      <w:lvlText w:val="(%1)"/>
      <w:numFmt w:val="lowerRoman"/>
      <w:start w:val="4"/>
    </w:lvl>
  </w:abstractNum>
  <w:abstractNum w:abstractNumId="22">
    <w:nsid w:val="813864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lvl w:ilvl="1">
      <w:lvlJc w:val="left"/>
      <w:lvlText w:val="%2)"/>
      <w:numFmt w:val="lowerLetter"/>
      <w:start w:val="1"/>
    </w:lvl>
  </w:abstractNum>
  <w:abstractNum w:abstractNumId="27">
    <w:nsid w:val="22221A70"/>
    <w:multiLevelType w:val="hybridMultilevel"/>
    <w:lvl w:ilvl="0">
      <w:lvlJc w:val="left"/>
      <w:lvlText w:val="%1."/>
      <w:numFmt w:val="decimal"/>
      <w:start w:val="1"/>
    </w:lvl>
    <w:lvl w:ilvl="1">
      <w:lvlJc w:val="left"/>
      <w:lvlText w:val="%2)"/>
      <w:numFmt w:val="lowerLetter"/>
      <w:start w:val="1"/>
    </w:lvl>
  </w:abstractNum>
  <w:abstractNum w:abstractNumId="28">
    <w:nsid w:val="4516DDE9"/>
    <w:multiLevelType w:val="hybridMultilevel"/>
    <w:lvl w:ilvl="0">
      <w:lvlJc w:val="left"/>
      <w:lvlText w:val="%1."/>
      <w:numFmt w:val="decimal"/>
      <w:start w:val="1"/>
    </w:lvl>
    <w:lvl w:ilvl="1">
      <w:lvlJc w:val="left"/>
      <w:lvlText w:val="(%2)"/>
      <w:numFmt w:val="lowerLetter"/>
      <w:start w:val="1"/>
    </w:lvl>
  </w:abstractNum>
  <w:abstractNum w:abstractNumId="29">
    <w:nsid w:val="3006C83E"/>
    <w:multiLevelType w:val="hybridMultilevel"/>
    <w:lvl w:ilvl="0">
      <w:lvlJc w:val="left"/>
      <w:lvlText w:val="(%1)"/>
      <w:numFmt w:val="lowerLetter"/>
      <w:start w:val="4"/>
    </w:lvl>
  </w:abstractNum>
  <w:abstractNum w:abstractNumId="30">
    <w:nsid w:val="614FD4A1"/>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31">
    <w:nsid w:val="419AC24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
    <w:nsid w:val="5577F8E1"/>
    <w:multiLevelType w:val="hybridMultilevel"/>
    <w:lvl w:ilvl="0">
      <w:lvlJc w:val="left"/>
      <w:lvlText w:val="%1"/>
      <w:numFmt w:val="lowerLetter"/>
      <w:start w:val="1"/>
    </w:lvl>
    <w:lvl w:ilvl="1">
      <w:lvlJc w:val="left"/>
      <w:lvlText w:val="(%2)"/>
      <w:numFmt w:val="lowerLetter"/>
      <w:start w:val="22"/>
    </w:lvl>
  </w:abstractNum>
  <w:abstractNum w:abstractNumId="33">
    <w:nsid w:val="440BADFC"/>
    <w:multiLevelType w:val="hybridMultilevel"/>
    <w:lvl w:ilvl="0">
      <w:lvlJc w:val="left"/>
      <w:lvlText w:val="(%1)"/>
      <w:numFmt w:val="lowerLetter"/>
      <w:start w:val="2"/>
    </w:lvl>
    <w:lvl w:ilvl="1">
      <w:lvlJc w:val="left"/>
      <w:lvlText w:val="(%2)"/>
      <w:numFmt w:val="lowerLetter"/>
      <w:start w:val="9"/>
    </w:lvl>
  </w:abstractNum>
  <w:abstractNum w:abstractNumId="34">
    <w:nsid w:val="5072367"/>
    <w:multiLevelType w:val="hybridMultilevel"/>
    <w:lvl w:ilvl="0">
      <w:lvlJc w:val="left"/>
      <w:lvlText w:val="%1"/>
      <w:numFmt w:val="decimal"/>
      <w:start w:val="1"/>
    </w:lvl>
    <w:lvl w:ilvl="1">
      <w:lvlJc w:val="left"/>
      <w:lvlText w:val="(%2)"/>
      <w:numFmt w:val="lowerRoman"/>
      <w:start w:val="2"/>
    </w:lvl>
  </w:abstractNum>
  <w:abstractNum w:abstractNumId="35">
    <w:nsid w:val="3804823E"/>
    <w:multiLevelType w:val="hybridMultilevel"/>
    <w:lvl w:ilvl="0">
      <w:lvlJc w:val="left"/>
      <w:lvlText w:val="%1."/>
      <w:numFmt w:val="decimal"/>
      <w:start w:val="5"/>
    </w:lvl>
    <w:lvl w:ilvl="1">
      <w:lvlJc w:val="left"/>
      <w:lvlText w:val="%2"/>
      <w:numFmt w:val="lowerRoman"/>
      <w:start w:val="1"/>
    </w:lvl>
  </w:abstractNum>
  <w:abstractNum w:abstractNumId="36">
    <w:nsid w:val="77465F01"/>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40"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06" Type="http://schemas.openxmlformats.org/officeDocument/2006/relationships/hyperlink" Target="https://www.sec.gov/Archives/edgar/data/912562/000091256221000029/ex31-gibraltarcertofinca.htm" TargetMode="External"/><Relationship Id="rId107" Type="http://schemas.openxmlformats.org/officeDocument/2006/relationships/hyperlink" Target="https://www.sec.gov/Archives/edgar/data/912562/000091256223000027/exhibit31-certificateofame.htm" TargetMode="External"/><Relationship Id="rId108" Type="http://schemas.openxmlformats.org/officeDocument/2006/relationships/hyperlink" Target="http://www.sec.gov/Archives/edgar/data/912562/000091256222000049/exhibit31amendedandrestate.htm" TargetMode="External"/><Relationship Id="rId109" Type="http://schemas.openxmlformats.org/officeDocument/2006/relationships/hyperlink" Target="https://www.sec.gov/Archives/edgar/data/912562/000091256223000009/ex41descriptionofregistran.htm" TargetMode="External"/><Relationship Id="rId110" Type="http://schemas.openxmlformats.org/officeDocument/2006/relationships/hyperlink" Target="http://www.sec.gov/Archives/edgar/data/912562/000091256219000002/exhibit101correspondence.htm" TargetMode="External"/><Relationship Id="rId111" Type="http://schemas.openxmlformats.org/officeDocument/2006/relationships/hyperlink" Target="http://www.sec.gov/Archives/edgar/data/912562/000091256219000002/exhibit102restrictivecovan.htm" TargetMode="External"/><Relationship Id="rId112" Type="http://schemas.openxmlformats.org/officeDocument/2006/relationships/hyperlink" Target="https://www.sec.gov/Archives/edgar/data/912562/000091256223000035/exhibit101changeincontrole.htm" TargetMode="External"/><Relationship Id="rId113" Type="http://schemas.openxmlformats.org/officeDocument/2006/relationships/hyperlink" Target="http://www.sec.gov/Archives/edgar/data/912562/000091256219000002/exhibit103cicbosway.htm" TargetMode="External"/><Relationship Id="rId114" Type="http://schemas.openxmlformats.org/officeDocument/2006/relationships/hyperlink" Target="https://www.sec.gov/Archives/edgar/data/912562/000091256223000035/exhibit102firstamendmentto.htm" TargetMode="External"/><Relationship Id="rId115" Type="http://schemas.openxmlformats.org/officeDocument/2006/relationships/hyperlink" Target="http://www.sec.gov/Archives/edgar/data/912562/000091256217000017/ex-102.htm" TargetMode="External"/><Relationship Id="rId116" Type="http://schemas.openxmlformats.org/officeDocument/2006/relationships/hyperlink" Target="http://www.sec.gov/Archives/edgar/data/912562/000095015209001698/l35594aexv10w2.htm" TargetMode="External"/><Relationship Id="rId117" Type="http://schemas.openxmlformats.org/officeDocument/2006/relationships/hyperlink" Target="https://www.sec.gov/Archives/edgar/data/912562/000091256215000033/exhibit104secondamendmento.htm" TargetMode="External"/><Relationship Id="rId118" Type="http://schemas.openxmlformats.org/officeDocument/2006/relationships/hyperlink" Target="https://www.sec.gov/Archives/edgar/data/912562/000091256223000035/exhibit103firstamendmentto.htm" TargetMode="External"/><Relationship Id="rId119" Type="http://schemas.openxmlformats.org/officeDocument/2006/relationships/hyperlink" Target="https://www.sec.gov/Archives/edgar/data/912562/000095015206010350/l23827aexv10w1.htm" TargetMode="External"/><Relationship Id="rId120" Type="http://schemas.openxmlformats.org/officeDocument/2006/relationships/hyperlink" Target="https://www.sec.gov/Archives/edgar/data/912562/000095015209000053/l35009aexv10w3.htm" TargetMode="External"/><Relationship Id="rId121" Type="http://schemas.openxmlformats.org/officeDocument/2006/relationships/hyperlink" Target="http://www.sec.gov/Archives/edgar/data/912562/000095015209001698/l35594aexv10w1.htm" TargetMode="External"/><Relationship Id="rId124" Type="http://schemas.openxmlformats.org/officeDocument/2006/relationships/hyperlink" Target="http://www.sec.gov/Archives/edgar/data/912562/000091256222000046/exhibit101gibraltar-credit.htm" TargetMode="External"/><Relationship Id="rId125" Type="http://schemas.openxmlformats.org/officeDocument/2006/relationships/hyperlink" Target="http://www.sec.gov/Archives/edgar/data/912562/000091256217000019/exhibit101-firstamendmento.htm" TargetMode="External"/><Relationship Id="rId126" Type="http://schemas.openxmlformats.org/officeDocument/2006/relationships/hyperlink" Target="http://www.sec.gov/Archives/edgar/data/912562/000091256216000066/ex-101msppplansecondamendm.htm" TargetMode="External"/><Relationship Id="rId127" Type="http://schemas.openxmlformats.org/officeDocument/2006/relationships/hyperlink" Target="https://www.sec.gov/Archives/edgar/data/912562/000091256215000033/exhibit105firstamendmentof.htm" TargetMode="External"/><Relationship Id="rId128" Type="http://schemas.openxmlformats.org/officeDocument/2006/relationships/hyperlink" Target="https://www.sec.gov/Archives/edgar/data/912562/000091256216000064/ex-105mspp.htm" TargetMode="External"/><Relationship Id="rId129" Type="http://schemas.openxmlformats.org/officeDocument/2006/relationships/hyperlink" Target="https://www.sec.gov/Archives/edgar/data/912562/000091256223000027/exhibit101-amendedandresta.htm" TargetMode="External"/><Relationship Id="rId130" Type="http://schemas.openxmlformats.org/officeDocument/2006/relationships/hyperlink" Target="http://www.sec.gov/Archives/edgar/data/912562/000091256218000038/ex101-2018managementstockp.htm" TargetMode="External"/><Relationship Id="rId131" Type="http://schemas.openxmlformats.org/officeDocument/2006/relationships/hyperlink" Target="http://www.sec.gov/Archives/edgar/data/912562/000091256216000064/ex-102awardofnonxqualified.htm" TargetMode="External"/><Relationship Id="rId132" Type="http://schemas.openxmlformats.org/officeDocument/2006/relationships/hyperlink" Target="http://www.sec.gov/Archives/edgar/data/912562/000091256216000068/ex-103gibraltarindustriesi.htm" TargetMode="External"/><Relationship Id="rId133" Type="http://schemas.openxmlformats.org/officeDocument/2006/relationships/hyperlink" Target="http://www.sec.gov/Archives/edgar/data/912562/000091256222000020/exhibit101-amended2016plan.htm" TargetMode="External"/><Relationship Id="rId134" Type="http://schemas.openxmlformats.org/officeDocument/2006/relationships/hyperlink" Target="http://www.sec.gov/Archives/edgar/data/912562/000091256222000020/exhibit102-formofaward.htm" TargetMode="External"/><Relationship Id="rId135" Type="http://schemas.openxmlformats.org/officeDocument/2006/relationships/hyperlink" Target="http://www.sec.gov/Archives/edgar/data/912562/000091256216000085/exhibit102non-employeedire.htm" TargetMode="External"/><Relationship Id="rId136" Type="http://schemas.openxmlformats.org/officeDocument/2006/relationships/hyperlink" Target="http://www.sec.gov/Archives/edgar/data/912562/000091256219000009/ex1022-formofpsuaward2019x.htm" TargetMode="External"/><Relationship Id="rId137" Type="http://schemas.openxmlformats.org/officeDocument/2006/relationships/hyperlink" Target="http://www.sec.gov/Archives/edgar/data/912562/000091256219000009/ex1023-formofexecutiveltip.htm" TargetMode="External"/><Relationship Id="rId138" Type="http://schemas.openxmlformats.org/officeDocument/2006/relationships/hyperlink" Target="https://www.sec.gov/Archives/edgar/data/912562/000091256223000037/q22023exhibit103.htm" TargetMode="External"/><Relationship Id="rId139" Type="http://schemas.openxmlformats.org/officeDocument/2006/relationships/hyperlink" Target="https://www.sec.gov/Archives/edgar/data/912562/000091256223000046/q32023exhibit101.htm" TargetMode="External"/><Relationship Id="rId141" Type="http://schemas.openxmlformats.org/officeDocument/2006/relationships/hyperlink" Target="https://www.sec.gov/Archives/edgar/data/912562/000091256223000046/q32023exhibit102.htm" TargetMode="External"/><Relationship Id="rId142" Type="http://schemas.openxmlformats.org/officeDocument/2006/relationships/hyperlink" Target="https://www.sec.gov/Archives/edgar/data/912562/000091256223000046/q32023exhibit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2024-02-21T08:00:26Z</dcterms:created>
  <dcterms:modified xsi:type="dcterms:W3CDTF">2024-02-21T08:00:26Z</dcterms:modified>
</cp:coreProperties>
</file>