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04" w:type="dxa"/>
        <w:jc w:val="center"/>
        <w:tblInd w:w="0" w:type="dxa"/>
        <w:tblLayout w:type="fixed"/>
        <w:tblCellMar>
          <w:top w:w="28" w:type="dxa"/>
          <w:left w:w="28" w:type="dxa"/>
          <w:bottom w:w="28" w:type="dxa"/>
          <w:right w:w="28" w:type="dxa"/>
        </w:tblCellMar>
      </w:tblPr>
      <w:tblGrid>
        <w:gridCol w:w="192"/>
        <w:gridCol w:w="169"/>
        <w:gridCol w:w="169"/>
        <w:gridCol w:w="2740"/>
        <w:gridCol w:w="2740"/>
        <w:gridCol w:w="3894"/>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9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 One)</w:t>
            </w:r>
          </w:p>
        </w:tc>
      </w:tr>
      <w:tr>
        <w:trPr/>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20" w:after="283"/>
        <w:jc w:val="center"/>
        <w:rPr/>
      </w:pPr>
      <w:r>
        <w:rPr>
          <w:rFonts w:ascii="Arial;sans-serif" w:hAnsi="Arial;sans-serif"/>
          <w:b/>
          <w:color w:val="000000"/>
          <w:sz w:val="18"/>
        </w:rPr>
        <w:t xml:space="preserve">For the transition period from </w:t>
      </w:r>
      <w:r>
        <w:rPr>
          <w:color w:val="000000"/>
          <w:u w:val="single"/>
        </w:rPr>
        <w:t>                    </w:t>
      </w:r>
      <w:r>
        <w:rPr>
          <w:color w:val="000000"/>
        </w:rPr>
        <w:t xml:space="preserve"> </w:t>
      </w:r>
      <w:r>
        <w:rPr>
          <w:rFonts w:ascii="Arial;sans-serif" w:hAnsi="Arial;sans-serif"/>
          <w:b/>
          <w:color w:val="000000"/>
          <w:sz w:val="18"/>
        </w:rPr>
        <w:t xml:space="preserve">to </w:t>
      </w:r>
      <w:r>
        <w:rPr>
          <w:color w:val="000000"/>
          <w:u w:val="single"/>
        </w:rPr>
        <w:t>                    </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Commission File Number: 000-22462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drawing>
          <wp:inline distT="0" distB="0" distL="0" distR="0">
            <wp:extent cx="34385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447675"/>
                    </a:xfrm>
                    <a:prstGeom prst="rect">
                      <a:avLst/>
                    </a:prstGeom>
                  </pic:spPr>
                </pic:pic>
              </a:graphicData>
            </a:graphic>
          </wp:inline>
        </w:drawing>
      </w:r>
      <w:bookmarkStart w:id="0" w:name="i-1"/>
      <w:bookmarkEnd w:id="0"/>
      <w:r>
        <w:rPr>
          <w:color w:val="000000"/>
        </w:rPr>
        <w:t> </w:t>
      </w:r>
    </w:p>
    <w:p>
      <w:pPr>
        <w:pStyle w:val="TextBody"/>
        <w:bidi w:val="0"/>
        <w:spacing w:lineRule="auto" w:line="288" w:before="20" w:after="283"/>
        <w:jc w:val="center"/>
        <w:rPr>
          <w:rFonts w:ascii="Arial;sans-serif" w:hAnsi="Arial;sans-serif"/>
          <w:b/>
          <w:color w:val="000000"/>
          <w:sz w:val="32"/>
        </w:rPr>
      </w:pPr>
      <w:r>
        <w:rPr>
          <w:rFonts w:ascii="Arial;sans-serif" w:hAnsi="Arial;sans-serif"/>
          <w:b/>
          <w:color w:val="000000"/>
          <w:sz w:val="32"/>
        </w:rPr>
        <w:t xml:space="preserve">GIBRALTAR INDUSTRIES, INC. </w:t>
      </w:r>
    </w:p>
    <w:p>
      <w:pPr>
        <w:pStyle w:val="TextBody"/>
        <w:bidi w:val="0"/>
        <w:spacing w:lineRule="auto" w:line="288" w:before="0" w:after="0"/>
        <w:jc w:val="center"/>
        <w:rPr/>
      </w:pPr>
      <w:r>
        <w:rPr>
          <w:rFonts w:ascii="Arial;sans-serif" w:hAnsi="Arial;sans-serif"/>
          <w:b w:val="false"/>
          <w:color w:val="000000"/>
          <w:sz w:val="18"/>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80" w:type="dxa"/>
        <w:jc w:val="center"/>
        <w:tblInd w:w="0" w:type="dxa"/>
        <w:tblLayout w:type="fixed"/>
        <w:tblCellMar>
          <w:top w:w="28" w:type="dxa"/>
          <w:left w:w="28" w:type="dxa"/>
          <w:bottom w:w="28" w:type="dxa"/>
          <w:right w:w="28" w:type="dxa"/>
        </w:tblCellMar>
      </w:tblPr>
      <w:tblGrid>
        <w:gridCol w:w="745"/>
        <w:gridCol w:w="655"/>
        <w:gridCol w:w="655"/>
        <w:gridCol w:w="435"/>
        <w:gridCol w:w="435"/>
        <w:gridCol w:w="435"/>
        <w:gridCol w:w="409"/>
        <w:gridCol w:w="409"/>
        <w:gridCol w:w="409"/>
        <w:gridCol w:w="409"/>
        <w:gridCol w:w="409"/>
        <w:gridCol w:w="409"/>
        <w:gridCol w:w="109"/>
        <w:gridCol w:w="109"/>
        <w:gridCol w:w="109"/>
        <w:gridCol w:w="857"/>
        <w:gridCol w:w="857"/>
        <w:gridCol w:w="1225"/>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58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16-1445150</w:t>
            </w:r>
          </w:p>
        </w:tc>
      </w:tr>
      <w:tr>
        <w:trPr/>
        <w:tc>
          <w:tcPr>
            <w:tcW w:w="58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3556 Lake Shore Road</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P.O. Box 2028</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Buffalo</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14219-0228</w:t>
            </w:r>
          </w:p>
        </w:tc>
      </w:tr>
      <w:tr>
        <w:trPr/>
        <w:tc>
          <w:tcPr>
            <w:tcW w:w="58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(716) 826-6500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(Registrant’s telephone number, including area code)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742" w:type="dxa"/>
        <w:jc w:val="center"/>
        <w:tblInd w:w="0" w:type="dxa"/>
        <w:tblLayout w:type="fixed"/>
        <w:tblCellMar>
          <w:top w:w="28" w:type="dxa"/>
          <w:left w:w="28" w:type="dxa"/>
          <w:bottom w:w="28" w:type="dxa"/>
          <w:right w:w="28" w:type="dxa"/>
        </w:tblCellMar>
      </w:tblPr>
      <w:tblGrid>
        <w:gridCol w:w="1340"/>
        <w:gridCol w:w="1175"/>
        <w:gridCol w:w="1189"/>
        <w:gridCol w:w="109"/>
        <w:gridCol w:w="109"/>
        <w:gridCol w:w="109"/>
        <w:gridCol w:w="479"/>
        <w:gridCol w:w="479"/>
        <w:gridCol w:w="481"/>
        <w:gridCol w:w="109"/>
        <w:gridCol w:w="109"/>
        <w:gridCol w:w="109"/>
        <w:gridCol w:w="1154"/>
        <w:gridCol w:w="1154"/>
        <w:gridCol w:w="1637"/>
      </w:tblGrid>
      <w:tr>
        <w:trPr/>
        <w:tc>
          <w:tcPr>
            <w:tcW w:w="13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0" w:after="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38" w:type="dxa"/>
        <w:jc w:val="center"/>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109"/>
        <w:gridCol w:w="109"/>
        <w:gridCol w:w="109"/>
        <w:gridCol w:w="769"/>
        <w:gridCol w:w="769"/>
        <w:gridCol w:w="77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18"/>
        </w:rPr>
        <w:t>Indicated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August 3, 2026, the number of shares of common stock outstanding was: 29,683,889.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val="false"/>
          <w:color w:val="305473"/>
          <w:sz w:val="20"/>
        </w:rPr>
      </w:pPr>
      <w:r>
        <w:rPr>
          <w:rFonts w:ascii="Arial;sans-serif" w:hAnsi="Arial;sans-serif"/>
          <w:b w:val="false"/>
          <w:color w:val="305473"/>
          <w:sz w:val="20"/>
        </w:rPr>
        <w:t>GIBRALTAR INDUSTRIES, INC.</w:t>
      </w:r>
    </w:p>
    <w:p>
      <w:pPr>
        <w:pStyle w:val="TextBody"/>
        <w:bidi w:val="0"/>
        <w:spacing w:lineRule="auto" w:line="288" w:before="240" w:after="283"/>
        <w:jc w:val="center"/>
        <w:rPr>
          <w:rFonts w:ascii="Arial;sans-serif" w:hAnsi="Arial;sans-serif"/>
          <w:b w:val="false"/>
          <w:color w:val="305473"/>
          <w:sz w:val="20"/>
        </w:rPr>
      </w:pPr>
      <w:r>
        <w:rPr>
          <w:rFonts w:ascii="Arial;sans-serif" w:hAnsi="Arial;sans-serif"/>
          <w:b w:val="false"/>
          <w:color w:val="305473"/>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2"/>
        <w:gridCol w:w="248"/>
        <w:gridCol w:w="251"/>
        <w:gridCol w:w="109"/>
        <w:gridCol w:w="109"/>
        <w:gridCol w:w="109"/>
        <w:gridCol w:w="2744"/>
        <w:gridCol w:w="2744"/>
        <w:gridCol w:w="2751"/>
        <w:gridCol w:w="250"/>
        <w:gridCol w:w="250"/>
        <w:gridCol w:w="35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93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305473"/>
                <w:sz w:val="16"/>
              </w:rPr>
            </w:pPr>
            <w:r>
              <w:rPr>
                <w:rFonts w:ascii="Arial;sans-serif" w:hAnsi="Arial;sans-serif"/>
                <w:b w:val="false"/>
                <w:color w:val="305473"/>
                <w:sz w:val="16"/>
              </w:rPr>
              <w:t>PAGE </w:t>
              <w:br/>
              <w:t>NUMBER</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0">
              <w:r>
                <w:rPr>
                  <w:rStyle w:val="InternetLink"/>
                  <w:rFonts w:ascii="Arial;sans-serif" w:hAnsi="Arial;sans-serif"/>
                  <w:b w:val="false"/>
                  <w:color w:val="305473"/>
                  <w:sz w:val="18"/>
                  <w:u w:val="single"/>
                </w:rPr>
                <w:t>FINANCIAL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3">
              <w:r>
                <w:rPr>
                  <w:rStyle w:val="InternetLink"/>
                  <w:rFonts w:ascii="Arial;sans-serif" w:hAnsi="Arial;sans-serif"/>
                  <w:b w:val="false"/>
                  <w:color w:val="305473"/>
                  <w:sz w:val="18"/>
                  <w:u w:val="single"/>
                </w:rPr>
                <w:t>Financial Statements</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4ab9df393ad74c06a85565e0aaefc8d4_16">
              <w:r>
                <w:rPr>
                  <w:rStyle w:val="InternetLink"/>
                  <w:rFonts w:ascii="Arial;sans-serif" w:hAnsi="Arial;sans-serif"/>
                  <w:b w:val="false"/>
                  <w:color w:val="000080"/>
                  <w:sz w:val="18"/>
                  <w:u w:val="single"/>
                </w:rPr>
                <w:t xml:space="preserve">Consolidated Statements of Operations for the Three </w:t>
              </w:r>
            </w:hyperlink>
            <w:hyperlink w:anchor="i4ab9df393ad74c06a85565e0aaefc8d4_16">
              <w:r>
                <w:rPr>
                  <w:rStyle w:val="InternetLink"/>
                  <w:rFonts w:ascii="Arial;sans-serif" w:hAnsi="Arial;sans-serif"/>
                  <w:b w:val="false"/>
                  <w:color w:val="000080"/>
                  <w:sz w:val="18"/>
                  <w:u w:val="single"/>
                </w:rPr>
                <w:t xml:space="preserve">and Six </w:t>
              </w:r>
            </w:hyperlink>
            <w:hyperlink w:anchor="i4ab9df393ad74c06a85565e0aaefc8d4_16">
              <w:r>
                <w:rPr>
                  <w:rStyle w:val="InternetLink"/>
                  <w:rFonts w:ascii="Arial;sans-serif" w:hAnsi="Arial;sans-serif"/>
                  <w:b w:val="false"/>
                  <w:color w:val="000080"/>
                  <w:sz w:val="18"/>
                  <w:u w:val="single"/>
                </w:rPr>
                <w:t xml:space="preserve">Months Ended </w:t>
              </w:r>
            </w:hyperlink>
            <w:hyperlink w:anchor="i4ab9df393ad74c06a85565e0aaefc8d4_16">
              <w:r>
                <w:rPr>
                  <w:rStyle w:val="InternetLink"/>
                  <w:rFonts w:ascii="Arial;sans-serif" w:hAnsi="Arial;sans-serif"/>
                  <w:b w:val="false"/>
                  <w:color w:val="000080"/>
                  <w:sz w:val="18"/>
                  <w:u w:val="single"/>
                </w:rPr>
                <w:t>June 30</w:t>
              </w:r>
            </w:hyperlink>
            <w:hyperlink w:anchor="i4ab9df393ad74c06a85565e0aaefc8d4_16">
              <w:r>
                <w:rPr>
                  <w:rStyle w:val="InternetLink"/>
                  <w:rFonts w:ascii="Arial;sans-serif" w:hAnsi="Arial;sans-serif"/>
                  <w:b w:val="false"/>
                  <w:color w:val="000080"/>
                  <w:sz w:val="18"/>
                  <w:u w:val="single"/>
                </w:rPr>
                <w:t>, 2026 and 2025 (unaudited)</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6">
              <w:r>
                <w:rPr>
                  <w:rStyle w:val="InternetLink"/>
                  <w:rFonts w:ascii="Arial;sans-serif" w:hAnsi="Arial;sans-serif"/>
                  <w:b w:val="false"/>
                  <w:color w:val="305473"/>
                  <w:sz w:val="18"/>
                  <w:u w:val="singl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4ab9df393ad74c06a85565e0aaefc8d4_19">
              <w:r>
                <w:rPr>
                  <w:rStyle w:val="InternetLink"/>
                  <w:rFonts w:ascii="Arial;sans-serif" w:hAnsi="Arial;sans-serif"/>
                  <w:b w:val="false"/>
                  <w:color w:val="000080"/>
                  <w:sz w:val="18"/>
                  <w:u w:val="single"/>
                </w:rPr>
                <w:t xml:space="preserve">Consolidated Statements of Comprehensive </w:t>
              </w:r>
            </w:hyperlink>
            <w:hyperlink w:anchor="i4ab9df393ad74c06a85565e0aaefc8d4_19">
              <w:r>
                <w:rPr>
                  <w:rStyle w:val="InternetLink"/>
                  <w:rFonts w:ascii="Arial;sans-serif" w:hAnsi="Arial;sans-serif"/>
                  <w:b w:val="false"/>
                  <w:color w:val="000080"/>
                  <w:sz w:val="18"/>
                  <w:u w:val="single"/>
                </w:rPr>
                <w:t xml:space="preserve">Income </w:t>
              </w:r>
            </w:hyperlink>
            <w:hyperlink w:anchor="i4ab9df393ad74c06a85565e0aaefc8d4_19">
              <w:r>
                <w:rPr>
                  <w:rStyle w:val="InternetLink"/>
                  <w:rFonts w:ascii="Arial;sans-serif" w:hAnsi="Arial;sans-serif"/>
                  <w:b w:val="false"/>
                  <w:color w:val="000080"/>
                  <w:sz w:val="18"/>
                  <w:u w:val="single"/>
                </w:rPr>
                <w:t>(</w:t>
              </w:r>
            </w:hyperlink>
            <w:hyperlink w:anchor="i4ab9df393ad74c06a85565e0aaefc8d4_19">
              <w:r>
                <w:rPr>
                  <w:rStyle w:val="InternetLink"/>
                  <w:rFonts w:ascii="Arial;sans-serif" w:hAnsi="Arial;sans-serif"/>
                  <w:b w:val="false"/>
                  <w:color w:val="000080"/>
                  <w:sz w:val="18"/>
                  <w:u w:val="single"/>
                </w:rPr>
                <w:t>L</w:t>
              </w:r>
            </w:hyperlink>
            <w:hyperlink w:anchor="i4ab9df393ad74c06a85565e0aaefc8d4_19">
              <w:r>
                <w:rPr>
                  <w:rStyle w:val="InternetLink"/>
                  <w:rFonts w:ascii="Arial;sans-serif" w:hAnsi="Arial;sans-serif"/>
                  <w:b w:val="false"/>
                  <w:color w:val="000080"/>
                  <w:sz w:val="18"/>
                  <w:u w:val="single"/>
                </w:rPr>
                <w:t xml:space="preserve">oss) </w:t>
              </w:r>
            </w:hyperlink>
            <w:hyperlink w:anchor="i4ab9df393ad74c06a85565e0aaefc8d4_19">
              <w:r>
                <w:rPr>
                  <w:rStyle w:val="InternetLink"/>
                  <w:rFonts w:ascii="Arial;sans-serif" w:hAnsi="Arial;sans-serif"/>
                  <w:b w:val="false"/>
                  <w:color w:val="000080"/>
                  <w:sz w:val="18"/>
                  <w:u w:val="single"/>
                </w:rPr>
                <w:t xml:space="preserve">for the Three </w:t>
              </w:r>
            </w:hyperlink>
            <w:hyperlink w:anchor="i4ab9df393ad74c06a85565e0aaefc8d4_19">
              <w:r>
                <w:rPr>
                  <w:rStyle w:val="InternetLink"/>
                  <w:rFonts w:ascii="Arial;sans-serif" w:hAnsi="Arial;sans-serif"/>
                  <w:b w:val="false"/>
                  <w:color w:val="000080"/>
                  <w:sz w:val="18"/>
                  <w:u w:val="single"/>
                </w:rPr>
                <w:t xml:space="preserve">and Six </w:t>
              </w:r>
            </w:hyperlink>
            <w:hyperlink w:anchor="i4ab9df393ad74c06a85565e0aaefc8d4_19">
              <w:r>
                <w:rPr>
                  <w:rStyle w:val="InternetLink"/>
                  <w:rFonts w:ascii="Arial;sans-serif" w:hAnsi="Arial;sans-serif"/>
                  <w:b w:val="false"/>
                  <w:color w:val="000080"/>
                  <w:sz w:val="18"/>
                  <w:u w:val="single"/>
                </w:rPr>
                <w:t xml:space="preserve">Months Ended </w:t>
              </w:r>
            </w:hyperlink>
            <w:hyperlink w:anchor="i4ab9df393ad74c06a85565e0aaefc8d4_19">
              <w:r>
                <w:rPr>
                  <w:rStyle w:val="InternetLink"/>
                  <w:rFonts w:ascii="Arial;sans-serif" w:hAnsi="Arial;sans-serif"/>
                  <w:b w:val="false"/>
                  <w:color w:val="000080"/>
                  <w:sz w:val="18"/>
                  <w:u w:val="single"/>
                </w:rPr>
                <w:t>June 30</w:t>
              </w:r>
            </w:hyperlink>
            <w:hyperlink w:anchor="i4ab9df393ad74c06a85565e0aaefc8d4_19">
              <w:r>
                <w:rPr>
                  <w:rStyle w:val="InternetLink"/>
                  <w:rFonts w:ascii="Arial;sans-serif" w:hAnsi="Arial;sans-serif"/>
                  <w:b w:val="false"/>
                  <w:color w:val="000080"/>
                  <w:sz w:val="18"/>
                  <w:u w:val="single"/>
                </w:rPr>
                <w:t>, 2026 and 2025 (unaudited)</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9">
              <w:r>
                <w:rPr>
                  <w:rStyle w:val="InternetLink"/>
                  <w:rFonts w:ascii="Arial;sans-serif" w:hAnsi="Arial;sans-serif"/>
                  <w:b w:val="false"/>
                  <w:color w:val="305473"/>
                  <w:sz w:val="18"/>
                  <w:u w:val="single"/>
                </w:rPr>
                <w:t>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b9df393ad74c06a85565e0aaefc8d4_22">
              <w:r>
                <w:rPr>
                  <w:rStyle w:val="InternetLink"/>
                  <w:rFonts w:ascii="Arial;sans-serif" w:hAnsi="Arial;sans-serif"/>
                  <w:b w:val="false"/>
                  <w:color w:val="000080"/>
                  <w:sz w:val="18"/>
                  <w:u w:val="single"/>
                </w:rPr>
                <w:t xml:space="preserve">Consolidated Balance Sheets as of </w:t>
              </w:r>
            </w:hyperlink>
            <w:hyperlink w:anchor="i4ab9df393ad74c06a85565e0aaefc8d4_22">
              <w:r>
                <w:rPr>
                  <w:rStyle w:val="InternetLink"/>
                  <w:rFonts w:ascii="Arial;sans-serif" w:hAnsi="Arial;sans-serif"/>
                  <w:b w:val="false"/>
                  <w:color w:val="000080"/>
                  <w:sz w:val="18"/>
                  <w:u w:val="single"/>
                </w:rPr>
                <w:t>June 30</w:t>
              </w:r>
            </w:hyperlink>
            <w:hyperlink w:anchor="i4ab9df393ad74c06a85565e0aaefc8d4_22">
              <w:r>
                <w:rPr>
                  <w:rStyle w:val="InternetLink"/>
                  <w:rFonts w:ascii="Arial;sans-serif" w:hAnsi="Arial;sans-serif"/>
                  <w:b w:val="false"/>
                  <w:color w:val="000080"/>
                  <w:sz w:val="18"/>
                  <w:u w:val="single"/>
                </w:rPr>
                <w:t>, 2026 (unaudited) and December 31, 202</w:t>
              </w:r>
            </w:hyperlink>
            <w:r>
              <w:rPr>
                <w:rFonts w:ascii="Arial;sans-serif" w:hAnsi="Arial;sans-serif"/>
                <w:b w:val="false"/>
                <w:color w:val="305473"/>
                <w:sz w:val="18"/>
              </w:rPr>
              <w:t>5</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22">
              <w:r>
                <w:rPr>
                  <w:rStyle w:val="InternetLink"/>
                  <w:rFonts w:ascii="Arial;sans-serif" w:hAnsi="Arial;sans-serif"/>
                  <w:b w:val="false"/>
                  <w:color w:val="305473"/>
                  <w:sz w:val="18"/>
                  <w:u w:val="single"/>
                </w:rPr>
                <w:t>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4ab9df393ad74c06a85565e0aaefc8d4_28">
              <w:r>
                <w:rPr>
                  <w:rStyle w:val="InternetLink"/>
                  <w:rFonts w:ascii="Arial;sans-serif" w:hAnsi="Arial;sans-serif"/>
                  <w:b w:val="false"/>
                  <w:color w:val="000080"/>
                  <w:sz w:val="18"/>
                  <w:u w:val="single"/>
                </w:rPr>
                <w:t xml:space="preserve">Consolidated Statements of Cash Flows for the </w:t>
              </w:r>
            </w:hyperlink>
            <w:hyperlink w:anchor="i4ab9df393ad74c06a85565e0aaefc8d4_28">
              <w:r>
                <w:rPr>
                  <w:rStyle w:val="InternetLink"/>
                  <w:rFonts w:ascii="Arial;sans-serif" w:hAnsi="Arial;sans-serif"/>
                  <w:b w:val="false"/>
                  <w:color w:val="000080"/>
                  <w:sz w:val="18"/>
                  <w:u w:val="single"/>
                </w:rPr>
                <w:t>Six</w:t>
              </w:r>
            </w:hyperlink>
            <w:hyperlink w:anchor="i4ab9df393ad74c06a85565e0aaefc8d4_28">
              <w:r>
                <w:rPr>
                  <w:rStyle w:val="InternetLink"/>
                  <w:rFonts w:ascii="Arial;sans-serif" w:hAnsi="Arial;sans-serif"/>
                  <w:b w:val="false"/>
                  <w:color w:val="000080"/>
                  <w:sz w:val="18"/>
                  <w:u w:val="single"/>
                </w:rPr>
                <w:t xml:space="preserve"> </w:t>
              </w:r>
            </w:hyperlink>
            <w:hyperlink w:anchor="i4ab9df393ad74c06a85565e0aaefc8d4_28">
              <w:r>
                <w:rPr>
                  <w:rStyle w:val="InternetLink"/>
                  <w:rFonts w:ascii="Arial;sans-serif" w:hAnsi="Arial;sans-serif"/>
                  <w:b w:val="false"/>
                  <w:color w:val="000080"/>
                  <w:sz w:val="18"/>
                  <w:u w:val="single"/>
                </w:rPr>
                <w:t xml:space="preserve">Months Ended </w:t>
              </w:r>
            </w:hyperlink>
            <w:hyperlink w:anchor="i4ab9df393ad74c06a85565e0aaefc8d4_28">
              <w:r>
                <w:rPr>
                  <w:rStyle w:val="InternetLink"/>
                  <w:rFonts w:ascii="Arial;sans-serif" w:hAnsi="Arial;sans-serif"/>
                  <w:b w:val="false"/>
                  <w:color w:val="000080"/>
                  <w:sz w:val="18"/>
                  <w:u w:val="single"/>
                </w:rPr>
                <w:t>June 30</w:t>
              </w:r>
            </w:hyperlink>
            <w:hyperlink w:anchor="i4ab9df393ad74c06a85565e0aaefc8d4_28">
              <w:r>
                <w:rPr>
                  <w:rStyle w:val="InternetLink"/>
                  <w:rFonts w:ascii="Arial;sans-serif" w:hAnsi="Arial;sans-serif"/>
                  <w:b w:val="false"/>
                  <w:color w:val="000080"/>
                  <w:sz w:val="18"/>
                  <w:u w:val="single"/>
                </w:rPr>
                <w:t>, 2026 and 2025 (unaudited)</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28">
              <w:r>
                <w:rPr>
                  <w:rStyle w:val="InternetLink"/>
                  <w:rFonts w:ascii="Arial;sans-serif" w:hAnsi="Arial;sans-serif"/>
                  <w:b w:val="false"/>
                  <w:color w:val="305473"/>
                  <w:sz w:val="18"/>
                  <w:u w:val="single"/>
                </w:rPr>
                <w:t>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4ab9df393ad74c06a85565e0aaefc8d4_31">
              <w:r>
                <w:rPr>
                  <w:rStyle w:val="InternetLink"/>
                  <w:rFonts w:ascii="Arial;sans-serif" w:hAnsi="Arial;sans-serif"/>
                  <w:b w:val="false"/>
                  <w:color w:val="000080"/>
                  <w:sz w:val="18"/>
                  <w:u w:val="single"/>
                </w:rPr>
                <w:t xml:space="preserve">Consolidated Statements of Stockholders’ Equity for the Three </w:t>
              </w:r>
            </w:hyperlink>
            <w:hyperlink w:anchor="i4ab9df393ad74c06a85565e0aaefc8d4_31">
              <w:r>
                <w:rPr>
                  <w:rStyle w:val="InternetLink"/>
                  <w:rFonts w:ascii="Arial;sans-serif" w:hAnsi="Arial;sans-serif"/>
                  <w:b w:val="false"/>
                  <w:color w:val="000080"/>
                  <w:sz w:val="18"/>
                  <w:u w:val="single"/>
                </w:rPr>
                <w:t xml:space="preserve">and Six </w:t>
              </w:r>
            </w:hyperlink>
            <w:hyperlink w:anchor="i4ab9df393ad74c06a85565e0aaefc8d4_31">
              <w:r>
                <w:rPr>
                  <w:rStyle w:val="InternetLink"/>
                  <w:rFonts w:ascii="Arial;sans-serif" w:hAnsi="Arial;sans-serif"/>
                  <w:b w:val="false"/>
                  <w:color w:val="000080"/>
                  <w:sz w:val="18"/>
                  <w:u w:val="single"/>
                </w:rPr>
                <w:t xml:space="preserve">Months Ended </w:t>
              </w:r>
            </w:hyperlink>
            <w:hyperlink w:anchor="i4ab9df393ad74c06a85565e0aaefc8d4_31">
              <w:r>
                <w:rPr>
                  <w:rStyle w:val="InternetLink"/>
                  <w:rFonts w:ascii="Arial;sans-serif" w:hAnsi="Arial;sans-serif"/>
                  <w:b w:val="false"/>
                  <w:color w:val="000080"/>
                  <w:sz w:val="18"/>
                  <w:u w:val="single"/>
                </w:rPr>
                <w:t>June 30</w:t>
              </w:r>
            </w:hyperlink>
            <w:hyperlink w:anchor="i4ab9df393ad74c06a85565e0aaefc8d4_31">
              <w:r>
                <w:rPr>
                  <w:rStyle w:val="InternetLink"/>
                  <w:rFonts w:ascii="Arial;sans-serif" w:hAnsi="Arial;sans-serif"/>
                  <w:b w:val="false"/>
                  <w:color w:val="000080"/>
                  <w:sz w:val="18"/>
                  <w:u w:val="single"/>
                </w:rPr>
                <w:t>, 2026 and 2025 (unaudited)</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31">
              <w:r>
                <w:rPr>
                  <w:rStyle w:val="InternetLink"/>
                  <w:rFonts w:ascii="Arial;sans-serif" w:hAnsi="Arial;sans-serif"/>
                  <w:b w:val="false"/>
                  <w:color w:val="305473"/>
                  <w:sz w:val="18"/>
                  <w:u w:val="single"/>
                </w:rPr>
                <w:t>7</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37">
              <w:r>
                <w:rPr>
                  <w:rStyle w:val="InternetLink"/>
                  <w:rFonts w:ascii="Arial;sans-serif" w:hAnsi="Arial;sans-serif"/>
                  <w:b w:val="false"/>
                  <w:color w:val="305473"/>
                  <w:sz w:val="18"/>
                  <w:u w:val="single"/>
                </w:rPr>
                <w:t>Notes to Consolidated Financial Statements (unaudited)</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37">
              <w:r>
                <w:rPr>
                  <w:rStyle w:val="InternetLink"/>
                  <w:rFonts w:ascii="Arial;sans-serif" w:hAnsi="Arial;sans-serif"/>
                  <w:b w:val="false"/>
                  <w:color w:val="305473"/>
                  <w:sz w:val="18"/>
                  <w:u w:val="single"/>
                </w:rPr>
                <w:t>9</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79">
              <w:r>
                <w:rPr>
                  <w:rStyle w:val="InternetLink"/>
                  <w:rFonts w:ascii="Arial;sans-serif" w:hAnsi="Arial;sans-serif"/>
                  <w:b w:val="false"/>
                  <w:color w:val="305473"/>
                  <w:sz w:val="18"/>
                  <w:u w:val="single"/>
                </w:rPr>
                <w:t>Management’s Discussion and Analysis of Financial Condition and Results of Operations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79">
              <w:r>
                <w:rPr>
                  <w:rStyle w:val="InternetLink"/>
                  <w:rFonts w:ascii="Arial;sans-serif" w:hAnsi="Arial;sans-serif"/>
                  <w:b w:val="false"/>
                  <w:color w:val="305473"/>
                  <w:sz w:val="18"/>
                  <w:u w:val="single"/>
                </w:rPr>
                <w:t>25</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97">
              <w:r>
                <w:rPr>
                  <w:rStyle w:val="InternetLink"/>
                  <w:rFonts w:ascii="Arial;sans-serif" w:hAnsi="Arial;sans-serif"/>
                  <w:b w:val="false"/>
                  <w:color w:val="305473"/>
                  <w:sz w:val="18"/>
                  <w:u w:val="single"/>
                </w:rPr>
                <w:t>Quantitative and Qualitative Disclosures About Market Risk</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97">
              <w:r>
                <w:rPr>
                  <w:rStyle w:val="InternetLink"/>
                  <w:rFonts w:ascii="Arial;sans-serif" w:hAnsi="Arial;sans-serif"/>
                  <w:b w:val="false"/>
                  <w:color w:val="305473"/>
                  <w:sz w:val="18"/>
                  <w:u w:val="single"/>
                </w:rPr>
                <w:t>34</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00">
              <w:r>
                <w:rPr>
                  <w:rStyle w:val="InternetLink"/>
                  <w:rFonts w:ascii="Arial;sans-serif" w:hAnsi="Arial;sans-serif"/>
                  <w:b w:val="false"/>
                  <w:color w:val="305473"/>
                  <w:sz w:val="18"/>
                  <w:u w:val="single"/>
                </w:rPr>
                <w:t>Controls and Procedures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00">
              <w:r>
                <w:rPr>
                  <w:rStyle w:val="InternetLink"/>
                  <w:rFonts w:ascii="Arial;sans-serif" w:hAnsi="Arial;sans-serif"/>
                  <w:b w:val="false"/>
                  <w:color w:val="305473"/>
                  <w:sz w:val="18"/>
                  <w:u w:val="single"/>
                </w:rPr>
                <w:t>35</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03">
              <w:r>
                <w:rPr>
                  <w:rStyle w:val="InternetLink"/>
                  <w:rFonts w:ascii="Arial;sans-serif" w:hAnsi="Arial;sans-serif"/>
                  <w:b w:val="false"/>
                  <w:color w:val="305473"/>
                  <w:sz w:val="18"/>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06">
              <w:r>
                <w:rPr>
                  <w:rStyle w:val="InternetLink"/>
                  <w:rFonts w:ascii="Arial;sans-serif" w:hAnsi="Arial;sans-serif"/>
                  <w:b w:val="false"/>
                  <w:color w:val="305473"/>
                  <w:sz w:val="18"/>
                  <w:u w:val="single"/>
                </w:rPr>
                <w:t>Legal Proceedings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06">
              <w:r>
                <w:rPr>
                  <w:rStyle w:val="InternetLink"/>
                  <w:rFonts w:ascii="Arial;sans-serif" w:hAnsi="Arial;sans-serif"/>
                  <w:b w:val="false"/>
                  <w:color w:val="305473"/>
                  <w:sz w:val="18"/>
                  <w:u w:val="single"/>
                </w:rPr>
                <w:t>35</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09">
              <w:r>
                <w:rPr>
                  <w:rStyle w:val="InternetLink"/>
                  <w:rFonts w:ascii="Arial;sans-serif" w:hAnsi="Arial;sans-serif"/>
                  <w:b w:val="false"/>
                  <w:color w:val="305473"/>
                  <w:sz w:val="18"/>
                  <w:u w:val="single"/>
                </w:rPr>
                <w:t>Risk Factors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09">
              <w:r>
                <w:rPr>
                  <w:rStyle w:val="InternetLink"/>
                  <w:rFonts w:ascii="Arial;sans-serif" w:hAnsi="Arial;sans-serif"/>
                  <w:b w:val="false"/>
                  <w:color w:val="305473"/>
                  <w:sz w:val="18"/>
                  <w:u w:val="single"/>
                </w:rPr>
                <w:t>35</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12">
              <w:r>
                <w:rPr>
                  <w:rStyle w:val="InternetLink"/>
                  <w:rFonts w:ascii="Arial;sans-serif" w:hAnsi="Arial;sans-serif"/>
                  <w:b w:val="false"/>
                  <w:color w:val="305473"/>
                  <w:sz w:val="18"/>
                  <w:u w:val="single"/>
                </w:rPr>
                <w:t>Unregistered Sales of Equity Securities and Use of Proceeds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12">
              <w:r>
                <w:rPr>
                  <w:rStyle w:val="InternetLink"/>
                  <w:rFonts w:ascii="Arial;sans-serif" w:hAnsi="Arial;sans-serif"/>
                  <w:b w:val="false"/>
                  <w:color w:val="305473"/>
                  <w:sz w:val="18"/>
                  <w:u w:val="single"/>
                </w:rPr>
                <w:t>36</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15">
              <w:r>
                <w:rPr>
                  <w:rStyle w:val="InternetLink"/>
                  <w:rFonts w:ascii="Arial;sans-serif" w:hAnsi="Arial;sans-serif"/>
                  <w:b w:val="false"/>
                  <w:color w:val="305473"/>
                  <w:sz w:val="18"/>
                  <w:u w:val="single"/>
                </w:rPr>
                <w:t>Defaults Upon Senior Securities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15">
              <w:r>
                <w:rPr>
                  <w:rStyle w:val="InternetLink"/>
                  <w:rFonts w:ascii="Arial;sans-serif" w:hAnsi="Arial;sans-serif"/>
                  <w:b w:val="false"/>
                  <w:color w:val="305473"/>
                  <w:sz w:val="18"/>
                  <w:u w:val="single"/>
                </w:rPr>
                <w:t>36</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18">
              <w:r>
                <w:rPr>
                  <w:rStyle w:val="InternetLink"/>
                  <w:rFonts w:ascii="Arial;sans-serif" w:hAnsi="Arial;sans-serif"/>
                  <w:b w:val="false"/>
                  <w:color w:val="305473"/>
                  <w:sz w:val="18"/>
                  <w:u w:val="single"/>
                </w:rPr>
                <w:t>Mine Safety Disclosures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18">
              <w:r>
                <w:rPr>
                  <w:rStyle w:val="InternetLink"/>
                  <w:rFonts w:ascii="Arial;sans-serif" w:hAnsi="Arial;sans-serif"/>
                  <w:b w:val="false"/>
                  <w:color w:val="305473"/>
                  <w:sz w:val="18"/>
                  <w:u w:val="single"/>
                </w:rPr>
                <w:t>36</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21">
              <w:r>
                <w:rPr>
                  <w:rStyle w:val="InternetLink"/>
                  <w:rFonts w:ascii="Arial;sans-serif" w:hAnsi="Arial;sans-serif"/>
                  <w:b w:val="false"/>
                  <w:color w:val="305473"/>
                  <w:sz w:val="18"/>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21">
              <w:r>
                <w:rPr>
                  <w:rStyle w:val="InternetLink"/>
                  <w:rFonts w:ascii="Arial;sans-serif" w:hAnsi="Arial;sans-serif"/>
                  <w:b w:val="false"/>
                  <w:color w:val="305473"/>
                  <w:sz w:val="18"/>
                  <w:u w:val="single"/>
                </w:rPr>
                <w:t>36</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5473"/>
                <w:sz w:val="18"/>
              </w:rPr>
            </w:pPr>
            <w:r>
              <w:rPr>
                <w:rFonts w:ascii="Arial;sans-serif" w:hAnsi="Arial;sans-serif"/>
                <w:b w:val="false"/>
                <w:color w:val="305473"/>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24">
              <w:r>
                <w:rPr>
                  <w:rStyle w:val="InternetLink"/>
                  <w:rFonts w:ascii="Arial;sans-serif" w:hAnsi="Arial;sans-serif"/>
                  <w:b w:val="false"/>
                  <w:color w:val="305473"/>
                  <w:sz w:val="18"/>
                  <w:u w:val="single"/>
                </w:rPr>
                <w:t>Exhibits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24">
              <w:r>
                <w:rPr>
                  <w:rStyle w:val="InternetLink"/>
                  <w:rFonts w:ascii="Arial;sans-serif" w:hAnsi="Arial;sans-serif"/>
                  <w:b w:val="false"/>
                  <w:color w:val="305473"/>
                  <w:sz w:val="18"/>
                  <w:u w:val="single"/>
                </w:rPr>
                <w:t>36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9df393ad74c06a85565e0aaefc8d4_127">
              <w:r>
                <w:rPr>
                  <w:rStyle w:val="InternetLink"/>
                  <w:rFonts w:ascii="Arial;sans-serif" w:hAnsi="Arial;sans-serif"/>
                  <w:b w:val="false"/>
                  <w:color w:val="305473"/>
                  <w:sz w:val="18"/>
                  <w:u w:val="single"/>
                </w:rPr>
                <w:t>SIGNATURES</w:t>
              </w:r>
            </w:hyperlink>
          </w:p>
        </w:tc>
        <w:tc>
          <w:tcPr>
            <w:tcW w:w="85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ab9df393ad74c06a85565e0aaefc8d4_127">
              <w:r>
                <w:rPr>
                  <w:rStyle w:val="InternetLink"/>
                  <w:rFonts w:ascii="Arial;sans-serif" w:hAnsi="Arial;sans-serif"/>
                  <w:b w:val="false"/>
                  <w:color w:val="305473"/>
                  <w:sz w:val="18"/>
                  <w:u w:val="single"/>
                </w:rPr>
                <w:t>38</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305473"/>
          <w:sz w:val="20"/>
        </w:rPr>
        <w:t xml:space="preserve">Item 1. </w:t>
      </w:r>
      <w:r>
        <w:rPr>
          <w:rFonts w:ascii="Arial;sans-serif" w:hAnsi="Arial;sans-serif"/>
          <w:b/>
          <w:i/>
          <w:color w:val="305473"/>
          <w:sz w:val="20"/>
          <w:u w:val="singl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1829"/>
        <w:gridCol w:w="1315"/>
        <w:gridCol w:w="132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82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 from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of income taxes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per share – Basic:</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per share – Diluted: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left"/>
        <w:rPr/>
      </w:pPr>
      <w:r>
        <w:rPr/>
      </w:r>
    </w:p>
    <w:tbl>
      <w:tblPr>
        <w:tblW w:w="8820" w:type="dxa"/>
        <w:jc w:val="center"/>
        <w:tblInd w:w="0" w:type="dxa"/>
        <w:tblLayout w:type="fixed"/>
        <w:tblCellMar>
          <w:top w:w="28" w:type="dxa"/>
          <w:left w:w="28" w:type="dxa"/>
          <w:bottom w:w="28" w:type="dxa"/>
          <w:right w:w="28" w:type="dxa"/>
        </w:tblCellMar>
      </w:tblPr>
      <w:tblGrid>
        <w:gridCol w:w="1287"/>
        <w:gridCol w:w="1132"/>
        <w:gridCol w:w="1136"/>
        <w:gridCol w:w="211"/>
        <w:gridCol w:w="646"/>
        <w:gridCol w:w="109"/>
        <w:gridCol w:w="109"/>
        <w:gridCol w:w="109"/>
        <w:gridCol w:w="109"/>
        <w:gridCol w:w="211"/>
        <w:gridCol w:w="751"/>
        <w:gridCol w:w="109"/>
        <w:gridCol w:w="109"/>
        <w:gridCol w:w="109"/>
        <w:gridCol w:w="109"/>
        <w:gridCol w:w="211"/>
        <w:gridCol w:w="811"/>
        <w:gridCol w:w="109"/>
        <w:gridCol w:w="109"/>
        <w:gridCol w:w="109"/>
        <w:gridCol w:w="109"/>
        <w:gridCol w:w="211"/>
        <w:gridCol w:w="751"/>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709"/>
        <w:gridCol w:w="2214"/>
        <w:gridCol w:w="2212"/>
        <w:gridCol w:w="211"/>
        <w:gridCol w:w="1021"/>
        <w:gridCol w:w="109"/>
        <w:gridCol w:w="109"/>
        <w:gridCol w:w="109"/>
        <w:gridCol w:w="109"/>
        <w:gridCol w:w="212"/>
        <w:gridCol w:w="1031"/>
        <w:gridCol w:w="159"/>
      </w:tblGrid>
      <w:tr>
        <w:trPr/>
        <w:tc>
          <w:tcPr>
            <w:tcW w:w="27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receivables, net of allowance of $3,004 and $2,558,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 excess of billings,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discontinued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628,886 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in excess of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of discontinued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authorized 10,000 shares; none outstanding</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authorized 100,000 shares; 34,698 and 34,482 shares issued and outstanding,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353,018 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831,463 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5,015 and 4,935 shares,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2801"/>
        <w:gridCol w:w="2391"/>
        <w:gridCol w:w="2397"/>
        <w:gridCol w:w="219"/>
        <w:gridCol w:w="843"/>
        <w:gridCol w:w="109"/>
        <w:gridCol w:w="109"/>
        <w:gridCol w:w="109"/>
        <w:gridCol w:w="109"/>
        <w:gridCol w:w="211"/>
        <w:gridCol w:w="751"/>
        <w:gridCol w:w="156"/>
      </w:tblGrid>
      <w:tr>
        <w:trPr/>
        <w:tc>
          <w:tcPr>
            <w:tcW w:w="2801"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income from continuing operations to net cash (used in) provided by operating activities: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deferred income taxes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 of effects from acquisitions: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and costs in excess of billings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and other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non-current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 of continuing operations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 of discontinued operations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cash (used in) provided by operating activities </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net of cash acquired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proceeds from sale of business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 of continuing operations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 of discontinued operations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long-term debt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payments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common stock at market prices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719" w:type="dxa"/>
        <w:jc w:val="center"/>
        <w:tblInd w:w="0" w:type="dxa"/>
        <w:tblLayout w:type="fixed"/>
        <w:tblCellMar>
          <w:top w:w="28" w:type="dxa"/>
          <w:left w:w="28" w:type="dxa"/>
          <w:bottom w:w="28" w:type="dxa"/>
          <w:right w:w="28" w:type="dxa"/>
        </w:tblCellMar>
      </w:tblPr>
      <w:tblGrid>
        <w:gridCol w:w="662"/>
        <w:gridCol w:w="239"/>
        <w:gridCol w:w="240"/>
        <w:gridCol w:w="330"/>
        <w:gridCol w:w="331"/>
        <w:gridCol w:w="216"/>
        <w:gridCol w:w="109"/>
        <w:gridCol w:w="109"/>
        <w:gridCol w:w="109"/>
        <w:gridCol w:w="198"/>
        <w:gridCol w:w="441"/>
        <w:gridCol w:w="112"/>
        <w:gridCol w:w="109"/>
        <w:gridCol w:w="109"/>
        <w:gridCol w:w="109"/>
        <w:gridCol w:w="196"/>
        <w:gridCol w:w="751"/>
        <w:gridCol w:w="109"/>
        <w:gridCol w:w="109"/>
        <w:gridCol w:w="109"/>
        <w:gridCol w:w="109"/>
        <w:gridCol w:w="196"/>
        <w:gridCol w:w="751"/>
        <w:gridCol w:w="109"/>
        <w:gridCol w:w="109"/>
        <w:gridCol w:w="109"/>
        <w:gridCol w:w="109"/>
        <w:gridCol w:w="302"/>
        <w:gridCol w:w="880"/>
        <w:gridCol w:w="169"/>
        <w:gridCol w:w="109"/>
        <w:gridCol w:w="109"/>
        <w:gridCol w:w="109"/>
        <w:gridCol w:w="285"/>
        <w:gridCol w:w="286"/>
        <w:gridCol w:w="216"/>
        <w:gridCol w:w="109"/>
        <w:gridCol w:w="109"/>
        <w:gridCol w:w="109"/>
        <w:gridCol w:w="196"/>
        <w:gridCol w:w="751"/>
        <w:gridCol w:w="109"/>
        <w:gridCol w:w="109"/>
        <w:gridCol w:w="109"/>
        <w:gridCol w:w="109"/>
        <w:gridCol w:w="222"/>
        <w:gridCol w:w="854"/>
        <w:gridCol w:w="125"/>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34,674</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763,993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(4,581)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880,632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of restricted stock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of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34,698</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358,365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(5,952)</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890,752</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010" w:type="dxa"/>
        <w:jc w:val="center"/>
        <w:tblInd w:w="0" w:type="dxa"/>
        <w:tblLayout w:type="fixed"/>
        <w:tblCellMar>
          <w:top w:w="28" w:type="dxa"/>
          <w:left w:w="28" w:type="dxa"/>
          <w:bottom w:w="28" w:type="dxa"/>
          <w:right w:w="28" w:type="dxa"/>
        </w:tblCellMar>
      </w:tblPr>
      <w:tblGrid>
        <w:gridCol w:w="662"/>
        <w:gridCol w:w="239"/>
        <w:gridCol w:w="240"/>
        <w:gridCol w:w="330"/>
        <w:gridCol w:w="331"/>
        <w:gridCol w:w="109"/>
        <w:gridCol w:w="109"/>
        <w:gridCol w:w="109"/>
        <w:gridCol w:w="109"/>
        <w:gridCol w:w="196"/>
        <w:gridCol w:w="436"/>
        <w:gridCol w:w="109"/>
        <w:gridCol w:w="109"/>
        <w:gridCol w:w="109"/>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285"/>
        <w:gridCol w:w="286"/>
        <w:gridCol w:w="109"/>
        <w:gridCol w:w="109"/>
        <w:gridCol w:w="109"/>
        <w:gridCol w:w="109"/>
        <w:gridCol w:w="196"/>
        <w:gridCol w:w="751"/>
        <w:gridCol w:w="109"/>
        <w:gridCol w:w="109"/>
        <w:gridCol w:w="109"/>
        <w:gridCol w:w="109"/>
        <w:gridCol w:w="196"/>
        <w:gridCol w:w="886"/>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2025</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896,970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(229,352)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of restricted stock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of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on repurchase of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350,259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922,974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(229,382)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1,041,180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140" w:after="283"/>
        <w:jc w:val="center"/>
        <w:rPr>
          <w:rFonts w:ascii="Arial;sans-serif" w:hAnsi="Arial;sans-serif"/>
          <w:b/>
          <w:color w:val="000000"/>
          <w:sz w:val="20"/>
        </w:rPr>
      </w:pPr>
      <w:r>
        <w:rPr>
          <w:rFonts w:ascii="Arial;sans-serif" w:hAnsi="Arial;sans-serif"/>
          <w:b/>
          <w:color w:val="000000"/>
          <w:sz w:val="20"/>
        </w:rPr>
        <w:t>GIBRALTAR INDUSTRIES,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1719" w:type="dxa"/>
        <w:jc w:val="center"/>
        <w:tblInd w:w="0" w:type="dxa"/>
        <w:tblLayout w:type="fixed"/>
        <w:tblCellMar>
          <w:top w:w="28" w:type="dxa"/>
          <w:left w:w="28" w:type="dxa"/>
          <w:bottom w:w="28" w:type="dxa"/>
          <w:right w:w="28" w:type="dxa"/>
        </w:tblCellMar>
      </w:tblPr>
      <w:tblGrid>
        <w:gridCol w:w="557"/>
        <w:gridCol w:w="291"/>
        <w:gridCol w:w="293"/>
        <w:gridCol w:w="330"/>
        <w:gridCol w:w="331"/>
        <w:gridCol w:w="216"/>
        <w:gridCol w:w="109"/>
        <w:gridCol w:w="109"/>
        <w:gridCol w:w="109"/>
        <w:gridCol w:w="198"/>
        <w:gridCol w:w="441"/>
        <w:gridCol w:w="112"/>
        <w:gridCol w:w="109"/>
        <w:gridCol w:w="109"/>
        <w:gridCol w:w="109"/>
        <w:gridCol w:w="196"/>
        <w:gridCol w:w="751"/>
        <w:gridCol w:w="109"/>
        <w:gridCol w:w="109"/>
        <w:gridCol w:w="109"/>
        <w:gridCol w:w="109"/>
        <w:gridCol w:w="196"/>
        <w:gridCol w:w="751"/>
        <w:gridCol w:w="109"/>
        <w:gridCol w:w="109"/>
        <w:gridCol w:w="109"/>
        <w:gridCol w:w="109"/>
        <w:gridCol w:w="302"/>
        <w:gridCol w:w="880"/>
        <w:gridCol w:w="169"/>
        <w:gridCol w:w="109"/>
        <w:gridCol w:w="109"/>
        <w:gridCol w:w="109"/>
        <w:gridCol w:w="285"/>
        <w:gridCol w:w="286"/>
        <w:gridCol w:w="216"/>
        <w:gridCol w:w="109"/>
        <w:gridCol w:w="109"/>
        <w:gridCol w:w="109"/>
        <w:gridCol w:w="196"/>
        <w:gridCol w:w="751"/>
        <w:gridCol w:w="109"/>
        <w:gridCol w:w="109"/>
        <w:gridCol w:w="109"/>
        <w:gridCol w:w="109"/>
        <w:gridCol w:w="222"/>
        <w:gridCol w:w="854"/>
        <w:gridCol w:w="125"/>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(3,683)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950,398</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of restricted stock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of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34,698</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358,365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(5,952)</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5,015</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890,752</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10" w:type="dxa"/>
        <w:jc w:val="center"/>
        <w:tblInd w:w="0" w:type="dxa"/>
        <w:tblLayout w:type="fixed"/>
        <w:tblCellMar>
          <w:top w:w="28" w:type="dxa"/>
          <w:left w:w="28" w:type="dxa"/>
          <w:bottom w:w="28" w:type="dxa"/>
          <w:right w:w="28" w:type="dxa"/>
        </w:tblCellMar>
      </w:tblPr>
      <w:tblGrid>
        <w:gridCol w:w="557"/>
        <w:gridCol w:w="291"/>
        <w:gridCol w:w="293"/>
        <w:gridCol w:w="330"/>
        <w:gridCol w:w="331"/>
        <w:gridCol w:w="109"/>
        <w:gridCol w:w="109"/>
        <w:gridCol w:w="109"/>
        <w:gridCol w:w="109"/>
        <w:gridCol w:w="196"/>
        <w:gridCol w:w="436"/>
        <w:gridCol w:w="109"/>
        <w:gridCol w:w="109"/>
        <w:gridCol w:w="109"/>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285"/>
        <w:gridCol w:w="286"/>
        <w:gridCol w:w="109"/>
        <w:gridCol w:w="109"/>
        <w:gridCol w:w="109"/>
        <w:gridCol w:w="109"/>
        <w:gridCol w:w="196"/>
        <w:gridCol w:w="751"/>
        <w:gridCol w:w="109"/>
        <w:gridCol w:w="109"/>
        <w:gridCol w:w="109"/>
        <w:gridCol w:w="109"/>
        <w:gridCol w:w="196"/>
        <w:gridCol w:w="886"/>
        <w:gridCol w:w="109"/>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8" w:type="dxa"/>
            <w:gridSpan w:val="10"/>
            <w:tcBorders/>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875,851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1,048,034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settlement of restricted stock units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of common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on repurchase of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repurchased under stock repurchase program</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350,259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922,974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(229,382)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1,041,180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GIBRALTAR INDUSTRIES, INC.</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NOTES TO CONSOLIDATED FINANCIAL STATEMENTS</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(1)    BASIS OF PRESENTATION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accompanying unaudited consolidated financial statements of Gibraltar Industries, Inc. (the "Company") have been prepared by management in accordance with U.S. generally accepted accounting principles for interim financial information and with the instructions to Form 10-Q and Article 10 of Regulation S-X. In the opinion of management, all adjustments (consisting of normal recurring adjustments) considered necessary for the fair presentation of results for the interim period have been included. The Company's operations are seasonal, for this and other reasons financial results for any interim period are not necessarily indicative of the results expected for any subsequent interim period or for the full year. The accompanying unaudited consolidated financial statements should be read in conjunction with the financial statements and notes thereto included in the Company's annual report on Form 10-K for the year ended December 31,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consolidated balance sheet at December 31, 2025 has been derived from the audited financial statements at that date, but does not include all of the information and footnotes required by U.S. generally accepted accounting principles for complete financial statements.</w:t>
      </w:r>
    </w:p>
    <w:p>
      <w:pPr>
        <w:pStyle w:val="TextBody"/>
        <w:bidi w:val="0"/>
        <w:spacing w:lineRule="auto" w:line="288" w:before="200" w:after="283"/>
        <w:jc w:val="both"/>
        <w:rPr>
          <w:rFonts w:ascii="Arial;sans-serif" w:hAnsi="Arial;sans-serif"/>
          <w:b w:val="false"/>
          <w:color w:val="000000"/>
          <w:sz w:val="20"/>
          <w:u w:val="single"/>
        </w:rPr>
      </w:pPr>
      <w:r>
        <w:rPr>
          <w:rFonts w:ascii="Arial;sans-serif" w:hAnsi="Arial;sans-serif"/>
          <w:b w:val="false"/>
          <w:color w:val="000000"/>
          <w:sz w:val="20"/>
          <w:u w:val="single"/>
        </w:rPr>
        <w:t>Discontinued Operations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June 2025, the Company committed to a plan to sell its Renewables business, which was the sole business in the Renewables segment, and represents a strategic shift that has a significant effect on the Company's operations and financial results, and as such, qualifies for reporting as discontinued operations. The Renewables business results of operations for the periods presented are reflected in the Company's consolidated statements of operations and consolidated statements of cash flows as discontinued operations. Additionally, refer to Note 13 "Discontinued Operations" for information regarding the assets and liabilities of the Renewables business that have been classified as assets and liabilities of discontinued operations in the Company's consolidated balance sheets for the periods presented.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Unless otherwise indicated, the consolidated financial statement disclosures and related information disclosed herein relate to the Company's continuing operations, which exclude its Renewables business, and the Company has recast prior period amounts to reflect discontinued operations.</w:t>
      </w:r>
    </w:p>
    <w:p>
      <w:pPr>
        <w:pStyle w:val="TextBody"/>
        <w:bidi w:val="0"/>
        <w:spacing w:lineRule="auto" w:line="288" w:before="200" w:after="283"/>
        <w:jc w:val="both"/>
        <w:rPr>
          <w:rFonts w:ascii="Arial;sans-serif" w:hAnsi="Arial;sans-serif"/>
          <w:b w:val="false"/>
          <w:color w:val="000000"/>
          <w:sz w:val="20"/>
          <w:u w:val="single"/>
        </w:rPr>
      </w:pPr>
      <w:r>
        <w:rPr>
          <w:rFonts w:ascii="Arial;sans-serif" w:hAnsi="Arial;sans-serif"/>
          <w:b w:val="false"/>
          <w:color w:val="000000"/>
          <w:sz w:val="20"/>
          <w:u w:val="single"/>
        </w:rPr>
        <w:t>Recent Accounting Pronouncements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evaluated all recent Accounting Standard Updates, including those that are currently effective in 2026 or will be effective after 2026, and determined that the adoption of these pronouncements would not have a material effect on the financial position, results of operations or cash flows of the Company. There have been no material changes from the recent accounting pronouncements previously disclosed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(2)    TRADE RECEIVABLES, NET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provides a roll-forward of the allowance for credit losses for the six month period ended June 30, 2026 that is deducted from the amortized cost basis of trade receivables to present the net amount expected to be collected (in thousands):</w:t>
      </w:r>
    </w:p>
    <w:tbl>
      <w:tblPr>
        <w:tblW w:w="6470" w:type="dxa"/>
        <w:jc w:val="left"/>
        <w:tblInd w:w="0" w:type="dxa"/>
        <w:tblLayout w:type="fixed"/>
        <w:tblCellMar>
          <w:top w:w="28" w:type="dxa"/>
          <w:left w:w="28" w:type="dxa"/>
          <w:bottom w:w="28" w:type="dxa"/>
          <w:right w:w="28" w:type="dxa"/>
        </w:tblCellMar>
      </w:tblPr>
      <w:tblGrid>
        <w:gridCol w:w="1975"/>
        <w:gridCol w:w="1739"/>
        <w:gridCol w:w="1745"/>
        <w:gridCol w:w="211"/>
        <w:gridCol w:w="64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as of January 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Allowance for credit losses acquired in business combination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Bad debt expense, net of recoveries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Accounts written off against allowance and other adjustments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(3)    REVENUE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Sales includes revenue from contracts with customers for roofing accessories, metal roofing products and services, rain dispersion products, roof and foundation ventilation products, single point and centralized mail and package solutions, outdoor living space products (sun-shading), and other construction accessories; designing, engineering, manufacturing and installation of controlled environment agriculture structures, custom greenhouses and structural canopies; expansion joints, structural bearings, pavement sealant, elastomeric concrete and bridge cable protection systems.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Refer to Note 12 "Segment Information" for disclosures related to disaggregation of revenue.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of June 30, 2026, the Company's remaining performance obligations are part of contracts that have an original expected duration of one year or less.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three and six months ended June 30, 2026 and 2025, respectively, there were no changes to estimated total costs to be incurred related to any individual contract that materially impacted the Company's consolidated financial statements.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Contract assets consist of net costs in excess of billings, classified as current assets in the Company's consolidated balance sheets. Contract liabilities consist of billings in excess of costs, classified as current liabilities, and unearned revenue, presented within accrued expenses, in the Company's consolidated balance sheets. Unearned revenue as of June 30, 2026 and December 31, 2025 was $0.7 million and $1.4 million, respectively. The Company recognized revenue of $9.1 million and $12.6 million during the six months ended June 30, 2026 and 2025, respectively, that was included in the contract liabilities balance of $10.3 million and $15.4 million at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(4)    INVENTORIES, NET</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Inventories, net of reserves, consisted of the following (in thousands):</w:t>
      </w:r>
    </w:p>
    <w:tbl>
      <w:tblPr>
        <w:tblW w:w="5531" w:type="dxa"/>
        <w:jc w:val="left"/>
        <w:tblInd w:w="0" w:type="dxa"/>
        <w:tblLayout w:type="fixed"/>
        <w:tblCellMar>
          <w:top w:w="28" w:type="dxa"/>
          <w:left w:w="28" w:type="dxa"/>
          <w:bottom w:w="28" w:type="dxa"/>
          <w:right w:w="28" w:type="dxa"/>
        </w:tblCellMar>
      </w:tblPr>
      <w:tblGrid>
        <w:gridCol w:w="707"/>
        <w:gridCol w:w="620"/>
        <w:gridCol w:w="623"/>
        <w:gridCol w:w="245"/>
        <w:gridCol w:w="994"/>
        <w:gridCol w:w="126"/>
        <w:gridCol w:w="109"/>
        <w:gridCol w:w="109"/>
        <w:gridCol w:w="109"/>
        <w:gridCol w:w="326"/>
        <w:gridCol w:w="1325"/>
        <w:gridCol w:w="238"/>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172,875 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68,528 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44,586 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 net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268,010 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116,770 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reserve for excess, obsolete and slow moving inventory was $9.4 million as of June 30, 2026, including $4.6 million acquired through a business combination. As of December 31, 2025, the reserve was $4.4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(5)    ACQUISITIONS</w:t>
      </w:r>
    </w:p>
    <w:p>
      <w:pPr>
        <w:pStyle w:val="TextBody"/>
        <w:bidi w:val="0"/>
        <w:spacing w:lineRule="auto" w:line="288" w:before="100" w:after="283"/>
        <w:jc w:val="both"/>
        <w:rPr>
          <w:rFonts w:ascii="Arial;sans-serif" w:hAnsi="Arial;sans-serif"/>
          <w:b w:val="false"/>
          <w:i/>
          <w:color w:val="000000"/>
          <w:sz w:val="20"/>
          <w:u w:val="single"/>
        </w:rPr>
      </w:pPr>
      <w:r>
        <w:rPr>
          <w:rFonts w:ascii="Arial;sans-serif" w:hAnsi="Arial;sans-serif"/>
          <w:b w:val="false"/>
          <w:i/>
          <w:color w:val="000000"/>
          <w:sz w:val="20"/>
          <w:u w:val="single"/>
        </w:rPr>
        <w:t>2026 Acquisition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On February 2, 2026, the Company purchased all the outstanding equity interests of Arundel Square Garden LLC, a Delaware limited liability company, the owner of OmniMax International, LLC ("OmniMax"), a leading U.S.- and Canada-based manufacturer of residential roofing accessories and rainwater management systems. The results of OmniMax have been included in the Company's consolidated financial results since the date of acquisition within the Company's Residential segment. The purchase consideration for this acquisition was $1.343 billion, which is subject to customary adjustments provided for in the securities purchase agreement, and was funded using a combination of cash on hand and proceeds from new indebtedness.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purchase price for this acquisition was preliminarily allocated to the assets acquired and liabilities assumed based upon their respective fair values estimated as of the date of acquisition. The Company has commenced the process to confirm the existence, condition, and completeness of the assets acquired and liabilities assumed to establish fair value of such assets and liabilities and to determine the amount of goodwill to be recognized as of the date of acquisition. Goodwill recognized in this acquisition is primarily attributable to factors such as future economic benefits arising from other assets acquired that could not be individually identified including workforce additions, growth opportunities, and increased presence in domestic residential roofing accessories and rainwater management systems markets. The Company is still collecting information necessary to complete the valuation of certain assets acquired and liabilities assumed in the business combination. Accordingly, the amounts recorded for working capital, property, plant and equipment, other assets, other liabilities and goodwill are provisional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be adjusted during the measurement period as additional information becomes available regarding facts and circumstances that existed as of the acquisition date and, if known, would have affected the measurement of those amounts at that date. The final determination of the fair value of certain assets and liabilities will be completed within a measurement period of up to one year from the date of the acquisition. The final value may also result in changes to depreciation and amortization expense related to certain assets such as property, plant and equipment and acquired intangible assets.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For the acquisition of OmniMax, the preliminary excess consideration was recorded as goodwill and approximated $526.7 million, none of which is deductible for tax purposes. The final purchase price allocation will be completed no later than the first quarter of fiscal year 2027.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preliminary allocation of the purchase consideration to the estimated fair value of the assets acquired and liabilities assumed is as follows as of the date of the acquisition (in thousands):</w:t>
      </w:r>
    </w:p>
    <w:tbl>
      <w:tblPr>
        <w:tblW w:w="4655" w:type="dxa"/>
        <w:jc w:val="left"/>
        <w:tblInd w:w="0" w:type="dxa"/>
        <w:tblLayout w:type="fixed"/>
        <w:tblCellMar>
          <w:top w:w="28" w:type="dxa"/>
          <w:left w:w="28" w:type="dxa"/>
          <w:bottom w:w="28" w:type="dxa"/>
          <w:right w:w="28" w:type="dxa"/>
        </w:tblCellMar>
      </w:tblPr>
      <w:tblGrid>
        <w:gridCol w:w="1184"/>
        <w:gridCol w:w="1034"/>
        <w:gridCol w:w="1051"/>
        <w:gridCol w:w="211"/>
        <w:gridCol w:w="10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intangible assets acquired in this acquisition consisted of the following (in thousands):</w:t>
      </w:r>
    </w:p>
    <w:tbl>
      <w:tblPr>
        <w:tblW w:w="7382" w:type="dxa"/>
        <w:jc w:val="left"/>
        <w:tblInd w:w="0" w:type="dxa"/>
        <w:tblLayout w:type="fixed"/>
        <w:tblCellMar>
          <w:top w:w="28" w:type="dxa"/>
          <w:left w:w="28" w:type="dxa"/>
          <w:bottom w:w="28" w:type="dxa"/>
          <w:right w:w="28" w:type="dxa"/>
        </w:tblCellMar>
      </w:tblPr>
      <w:tblGrid>
        <w:gridCol w:w="765"/>
        <w:gridCol w:w="673"/>
        <w:gridCol w:w="676"/>
        <w:gridCol w:w="211"/>
        <w:gridCol w:w="856"/>
        <w:gridCol w:w="109"/>
        <w:gridCol w:w="109"/>
        <w:gridCol w:w="109"/>
        <w:gridCol w:w="109"/>
        <w:gridCol w:w="1102"/>
        <w:gridCol w:w="1102"/>
        <w:gridCol w:w="156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Amortization Period</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 years</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years</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color w:val="000000"/>
          <w:sz w:val="20"/>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such as identified intangible assets and property, plant, and equipment.</w:t>
      </w:r>
      <w:r>
        <w:rPr>
          <w:color w:val="000000"/>
        </w:rPr>
        <w:t xml:space="preserve"> </w:t>
      </w:r>
      <w:r>
        <w:rPr>
          <w:rFonts w:ascii="Arial;sans-serif" w:hAnsi="Arial;sans-serif"/>
          <w:b w:val="false"/>
          <w:color w:val="000000"/>
          <w:sz w:val="20"/>
        </w:rPr>
        <w:t>The fair values of the identified intangible assets are primarily determined using income</w:t>
        <w:noBreakHyphen/>
        <w:t>based valuation techniques, including the multi</w:t>
        <w:noBreakHyphen/>
        <w:t>period excess earnings method for customer relationships and the relief</w:t>
        <w:noBreakHyphen/>
        <w:t>from</w:t>
        <w:noBreakHyphen/>
        <w:t>royalty method for trademarks.</w:t>
      </w:r>
      <w:r>
        <w:rPr>
          <w:color w:val="000000"/>
          <w:shd w:fill="FFFFFF" w:val="clear"/>
        </w:rPr>
        <w:t xml:space="preserve"> </w:t>
      </w:r>
      <w:r>
        <w:rPr>
          <w:rFonts w:ascii="Arial;sans-serif" w:hAnsi="Arial;sans-serif"/>
          <w:b w:val="false"/>
          <w:color w:val="000000"/>
          <w:sz w:val="20"/>
        </w:rPr>
        <w:t>The fair values of the property, plant, and equipment.is primarily determined using cost approach and market approach.</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Since the acquisition date through June 30, 2026, OmniMax contributed approximately $270.9 million in net sales and $17.5 million in operating profit.</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2025 Acquisitions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year ended December 31, 2025, the Company acquired four businesses in separate transactions. One acquired business is included within the Company's Agtech segment and the other three acquired businesses are included in the Company's Residential segment.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February 11, 2025, the Company purchased all the outstanding stock of Lane Supply, Inc. ("Lane Supply"), a privately held company that designs, manufactures and installs structural canopies serving the convenience store, travel center, food retail, and quick serve restaurant markets. The results of Lane Supply have been included in the Company's consolidated financial results since the date of acquisition within the Company's Agtech segment. The purchase consideration for this acquisition was $118.0 million, which includes a working capital adjustment and certain other adjustments provided for in the stock purchase agreement, and was funded with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On March 31, 2025, the Company acquired two privately held businesses within its Residential segment that primarily specialize in the manufacturing of metal roofing systems, along with metal wall panels, siding and trim products. The Company purchased all the outstanding stock of one of the businesses and substantially all of the assets of the other business for a combined purchase consideration of $92.6 million, which includes working capital adjustments and certain other adjustments provided for in the purchase agreements. A portion of the purchase consideration was funded with cash on hand, with the remaining portion payable in 2026. The Company recorded an acquisition payable included in accrued expenses of $5.4 million and $11.3 million as of June 30, 2026 and December 31, 2025, respectively, to reflect this obligation.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July 31, 2025, the Company purchased substantially all the assets of another privately held business within its Residential segment that primarily specializes in the manufacturing of metal roofing systems and roofing accessories. The purchase consideration for this acquisition was $16.0 million, which includes working capital adjustments and certain other adjustments provided for in the asset purchase agreement, and was funded with cash on hand.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purchase price for these acquisitions were allocated to the assets acquired and liabilities assumed based upon their respective fair values estimated as of the date of acquisitions. Goodwill recognized in these acquisitions is primarily attributable to factors such as future economic benefits arising from other assets acquired that could not be individually identified including workforce additions, growth opportunities, and increased presence in domestic agtech structures and metal roofing markets, respectively. Since the respective acquisition dates of the privately held businesses, the Company has recorded measurement-period adjustments, including adjustments as a result of new information obtained about facts and circumstances that existed as of the respective acquisition dates and included an increase of $20.2 million to acquired intangible assets and a corresponding decrease to goodwill. The impact of this adjustment, and other measurement-period adjustments, which would have been recognized in previous periods if the provisional amounts had been finalized as of the respective acquisition dates, have not materially impacted the Company's consolidated statements of operations.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For the acquisition of Lane Supply, the excess consideration was recorded as goodwill and approximated $38.3 million, none of which is deductible for tax purposes.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allocation of the purchase consideration to the estimated fair value of the assets acquired and liabilities assumed is as follows as of the date of the acquisition (in thousands):</w:t>
      </w:r>
    </w:p>
    <w:tbl>
      <w:tblPr>
        <w:tblW w:w="4490" w:type="dxa"/>
        <w:jc w:val="left"/>
        <w:tblInd w:w="0" w:type="dxa"/>
        <w:tblLayout w:type="fixed"/>
        <w:tblCellMar>
          <w:top w:w="28" w:type="dxa"/>
          <w:left w:w="28" w:type="dxa"/>
          <w:bottom w:w="28" w:type="dxa"/>
          <w:right w:w="28" w:type="dxa"/>
        </w:tblCellMar>
      </w:tblPr>
      <w:tblGrid>
        <w:gridCol w:w="1184"/>
        <w:gridCol w:w="1034"/>
        <w:gridCol w:w="1051"/>
        <w:gridCol w:w="211"/>
        <w:gridCol w:w="85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intangible assets acquired in this acquisition consisted of the following (in thousands):</w:t>
      </w:r>
    </w:p>
    <w:tbl>
      <w:tblPr>
        <w:tblW w:w="7277" w:type="dxa"/>
        <w:jc w:val="left"/>
        <w:tblInd w:w="0" w:type="dxa"/>
        <w:tblLayout w:type="fixed"/>
        <w:tblCellMar>
          <w:top w:w="28" w:type="dxa"/>
          <w:left w:w="28" w:type="dxa"/>
          <w:bottom w:w="28" w:type="dxa"/>
          <w:right w:w="28" w:type="dxa"/>
        </w:tblCellMar>
      </w:tblPr>
      <w:tblGrid>
        <w:gridCol w:w="765"/>
        <w:gridCol w:w="673"/>
        <w:gridCol w:w="676"/>
        <w:gridCol w:w="211"/>
        <w:gridCol w:w="751"/>
        <w:gridCol w:w="109"/>
        <w:gridCol w:w="109"/>
        <w:gridCol w:w="109"/>
        <w:gridCol w:w="109"/>
        <w:gridCol w:w="1102"/>
        <w:gridCol w:w="1102"/>
        <w:gridCol w:w="156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Amortization Period</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 years</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 years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Less than 1 year</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The fair values of the identified intangible assets are primarily determined using income</w:t>
        <w:noBreakHyphen/>
        <w:t>based valuation techniques, including the multi</w:t>
        <w:noBreakHyphen/>
        <w:t>period excess earnings method for customer relationships and backlog and the relief</w:t>
        <w:noBreakHyphen/>
        <w:t>from</w:t>
        <w:noBreakHyphen/>
        <w:t>royalty method for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For the acquisition of the two metal roofing businesses acquired on March 31, 2025, the excess consideration was recorded as goodwill and approximated $42.2 million, all of which is deductible for tax purposes.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For the acquisition of the metal roofing business acquired on July 31, 2025, the excess consideration was recorded as goodwill and approximated $8.8 million, all of which is deductible for tax purposes.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allocation of the purchase consideration to the estimated fair value of the assets acquired and liabilities assumed in the acquisitions of the three metal roofing businesses is as follows as of the respective date of the acquisitions (in thousands):</w:t>
      </w:r>
    </w:p>
    <w:tbl>
      <w:tblPr>
        <w:tblW w:w="4490" w:type="dxa"/>
        <w:jc w:val="left"/>
        <w:tblInd w:w="0" w:type="dxa"/>
        <w:tblLayout w:type="fixed"/>
        <w:tblCellMar>
          <w:top w:w="28" w:type="dxa"/>
          <w:left w:w="28" w:type="dxa"/>
          <w:bottom w:w="28" w:type="dxa"/>
          <w:right w:w="28" w:type="dxa"/>
        </w:tblCellMar>
      </w:tblPr>
      <w:tblGrid>
        <w:gridCol w:w="1184"/>
        <w:gridCol w:w="1034"/>
        <w:gridCol w:w="1051"/>
        <w:gridCol w:w="211"/>
        <w:gridCol w:w="85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intangible assets acquired in the three metal roofing business acquisitions consisted of the following (in thousands):</w:t>
      </w:r>
    </w:p>
    <w:tbl>
      <w:tblPr>
        <w:tblW w:w="7277" w:type="dxa"/>
        <w:jc w:val="left"/>
        <w:tblInd w:w="0" w:type="dxa"/>
        <w:tblLayout w:type="fixed"/>
        <w:tblCellMar>
          <w:top w:w="28" w:type="dxa"/>
          <w:left w:w="28" w:type="dxa"/>
          <w:bottom w:w="28" w:type="dxa"/>
          <w:right w:w="28" w:type="dxa"/>
        </w:tblCellMar>
      </w:tblPr>
      <w:tblGrid>
        <w:gridCol w:w="765"/>
        <w:gridCol w:w="673"/>
        <w:gridCol w:w="676"/>
        <w:gridCol w:w="211"/>
        <w:gridCol w:w="751"/>
        <w:gridCol w:w="109"/>
        <w:gridCol w:w="109"/>
        <w:gridCol w:w="109"/>
        <w:gridCol w:w="109"/>
        <w:gridCol w:w="1102"/>
        <w:gridCol w:w="1102"/>
        <w:gridCol w:w="156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Amortization Period</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5 -11 years</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9 - 12 years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The fair values of the identified intangible assets are primarily determined using income</w:t>
        <w:noBreakHyphen/>
        <w:t>based valuation techniques, including the multi</w:t>
        <w:noBreakHyphen/>
        <w:t>period excess earnings method for customer relationships and the relief</w:t>
        <w:noBreakHyphen/>
        <w:t>from</w:t>
        <w:noBreakHyphen/>
        <w:t>royalty method for trademarks.</w:t>
      </w:r>
    </w:p>
    <w:p>
      <w:pPr>
        <w:pStyle w:val="TextBody"/>
        <w:bidi w:val="0"/>
        <w:spacing w:lineRule="auto" w:line="288" w:before="200" w:after="283"/>
        <w:jc w:val="both"/>
        <w:rPr>
          <w:rFonts w:ascii="Arial;sans-serif" w:hAnsi="Arial;sans-serif"/>
          <w:b w:val="false"/>
          <w:color w:val="000000"/>
          <w:sz w:val="20"/>
          <w:u w:val="single"/>
        </w:rPr>
      </w:pPr>
      <w:r>
        <w:rPr>
          <w:rFonts w:ascii="Arial;sans-serif" w:hAnsi="Arial;sans-serif"/>
          <w:b w:val="false"/>
          <w:color w:val="000000"/>
          <w:sz w:val="20"/>
          <w:u w:val="single"/>
        </w:rPr>
        <w:t>Pro Forma Information (Unaudited)</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noted above, the Company completed the acquisition of OmniMax on February 2, 2026, and during the six months ended June 30, 2025, the Company completed the acquisitions of Lane Supply and two privately held metal roofing businesses. Accordingly, the Company's consolidated statements of operations do not include certain periods prior to each acquisition, as described below.</w:t>
      </w:r>
    </w:p>
    <w:tbl>
      <w:tblPr>
        <w:tblW w:w="9097" w:type="dxa"/>
        <w:jc w:val="left"/>
        <w:tblInd w:w="0" w:type="dxa"/>
        <w:tblLayout w:type="fixed"/>
        <w:tblCellMar>
          <w:top w:w="28" w:type="dxa"/>
          <w:left w:w="28" w:type="dxa"/>
          <w:bottom w:w="28" w:type="dxa"/>
          <w:right w:w="28" w:type="dxa"/>
        </w:tblCellMar>
      </w:tblPr>
      <w:tblGrid>
        <w:gridCol w:w="1284"/>
        <w:gridCol w:w="1125"/>
        <w:gridCol w:w="1131"/>
        <w:gridCol w:w="109"/>
        <w:gridCol w:w="109"/>
        <w:gridCol w:w="109"/>
        <w:gridCol w:w="559"/>
        <w:gridCol w:w="559"/>
        <w:gridCol w:w="561"/>
        <w:gridCol w:w="109"/>
        <w:gridCol w:w="109"/>
        <w:gridCol w:w="109"/>
        <w:gridCol w:w="500"/>
        <w:gridCol w:w="500"/>
        <w:gridCol w:w="500"/>
        <w:gridCol w:w="500"/>
        <w:gridCol w:w="500"/>
        <w:gridCol w:w="724"/>
      </w:tblGrid>
      <w:tr>
        <w:trPr/>
        <w:tc>
          <w:tcPr>
            <w:tcW w:w="12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35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 Not Included:</w:t>
            </w:r>
          </w:p>
        </w:tc>
      </w:tr>
      <w:tr>
        <w:trPr/>
        <w:tc>
          <w:tcPr>
            <w:tcW w:w="35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From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w:t>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OmniMax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February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2026</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February 1, 2026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Lane Supply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February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2025</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February 10,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Privately held metal roofing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2025</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March 30, 2025</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unaudited pro forma financial information represents a summary of the consolidated results of continuing operations of the Company for the three and six months ended June 30, 2026 and 2025, assuming the acquisition of OmniMax had been completed on January 1, 2025, and the acquisitions of Lane Supply and the two privately held metal roofing businesses had been completed on January 1,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tbl>
      <w:tblPr>
        <w:tblW w:w="7379" w:type="dxa"/>
        <w:jc w:val="left"/>
        <w:tblInd w:w="0" w:type="dxa"/>
        <w:tblLayout w:type="fixed"/>
        <w:tblCellMar>
          <w:top w:w="28" w:type="dxa"/>
          <w:left w:w="28" w:type="dxa"/>
          <w:bottom w:w="28" w:type="dxa"/>
          <w:right w:w="28" w:type="dxa"/>
        </w:tblCellMar>
      </w:tblPr>
      <w:tblGrid>
        <w:gridCol w:w="596"/>
        <w:gridCol w:w="523"/>
        <w:gridCol w:w="53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These pro forma amounts have been compiled by combining the historical results of these businesses with the results of the Company, after applying applicable accounting policies and pro forma adjustments, primarily for: (i) amortization that would have been recognized assuming preliminary fair value adjustments to intangible assets and fair value step-up of inventory had been applied from January 1, 2025 for OmniMax; (ii) elimination of non-recurring acquisition and related integration costs associated with the OmniMax acquisition; and (iii) amortization that would have been recognized assuming fair value adjustments to intangible assets had been applied from January 1, 2024 for Lane Supply and the two privately held metal roofing businesses.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pro forma financial information is not necessarily indicative of the results of continuing operations that would have been achieved if the acquisitions had been effective as of these dates, or of future results.</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Acquisition-related Costs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recognized costs as a component of cost of sales related to the sale of inventory at fair value as a result of allocating the purchase price of recent acquisitions. The Company also incurred certain acquisition-related costs comprised of legal and consulting fees. These costs were recognized as a component of selling, general, and administrative expenses in the consolidated statements of operations. The acquisition-related costs consisted of the following for the three and six months ended June 30 (in thousands):</w:t>
      </w:r>
    </w:p>
    <w:tbl>
      <w:tblPr>
        <w:tblW w:w="8416" w:type="dxa"/>
        <w:jc w:val="left"/>
        <w:tblInd w:w="0" w:type="dxa"/>
        <w:tblLayout w:type="fixed"/>
        <w:tblCellMar>
          <w:top w:w="28" w:type="dxa"/>
          <w:left w:w="28" w:type="dxa"/>
          <w:bottom w:w="28" w:type="dxa"/>
          <w:right w:w="28" w:type="dxa"/>
        </w:tblCellMar>
      </w:tblPr>
      <w:tblGrid>
        <w:gridCol w:w="1318"/>
        <w:gridCol w:w="1157"/>
        <w:gridCol w:w="1170"/>
        <w:gridCol w:w="216"/>
        <w:gridCol w:w="555"/>
        <w:gridCol w:w="111"/>
        <w:gridCol w:w="111"/>
        <w:gridCol w:w="111"/>
        <w:gridCol w:w="111"/>
        <w:gridCol w:w="216"/>
        <w:gridCol w:w="493"/>
        <w:gridCol w:w="111"/>
        <w:gridCol w:w="109"/>
        <w:gridCol w:w="109"/>
        <w:gridCol w:w="109"/>
        <w:gridCol w:w="211"/>
        <w:gridCol w:w="751"/>
        <w:gridCol w:w="109"/>
        <w:gridCol w:w="109"/>
        <w:gridCol w:w="109"/>
        <w:gridCol w:w="109"/>
        <w:gridCol w:w="211"/>
        <w:gridCol w:w="64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costs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acquisition related costs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(6)    GOODWILL AND INTANGIBLE ASSETS</w:t>
      </w:r>
    </w:p>
    <w:p>
      <w:pPr>
        <w:pStyle w:val="TextBody"/>
        <w:bidi w:val="0"/>
        <w:spacing w:lineRule="auto" w:line="288" w:before="100" w:after="283"/>
        <w:jc w:val="left"/>
        <w:rPr>
          <w:rFonts w:ascii="Arial;sans-serif" w:hAnsi="Arial;sans-serif"/>
          <w:b w:val="false"/>
          <w:color w:val="000000"/>
          <w:sz w:val="20"/>
          <w:u w:val="single"/>
        </w:rPr>
      </w:pPr>
      <w:r>
        <w:rPr>
          <w:rFonts w:ascii="Arial;sans-serif" w:hAnsi="Arial;sans-serif"/>
          <w:b w:val="false"/>
          <w:color w:val="000000"/>
          <w:sz w:val="20"/>
          <w:u w:val="single"/>
        </w:rPr>
        <w:t>Goodwill</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changes in the carrying amount of goodwill for the six months ended June 30, 2026 are as follows (in thousands):</w:t>
      </w:r>
    </w:p>
    <w:tbl>
      <w:tblPr>
        <w:tblW w:w="9310" w:type="dxa"/>
        <w:jc w:val="left"/>
        <w:tblInd w:w="0" w:type="dxa"/>
        <w:tblLayout w:type="fixed"/>
        <w:tblCellMar>
          <w:top w:w="28" w:type="dxa"/>
          <w:left w:w="28" w:type="dxa"/>
          <w:bottom w:w="28" w:type="dxa"/>
          <w:right w:w="28" w:type="dxa"/>
        </w:tblCellMar>
      </w:tblPr>
      <w:tblGrid>
        <w:gridCol w:w="1232"/>
        <w:gridCol w:w="1083"/>
        <w:gridCol w:w="1090"/>
        <w:gridCol w:w="211"/>
        <w:gridCol w:w="856"/>
        <w:gridCol w:w="109"/>
        <w:gridCol w:w="109"/>
        <w:gridCol w:w="109"/>
        <w:gridCol w:w="109"/>
        <w:gridCol w:w="211"/>
        <w:gridCol w:w="856"/>
        <w:gridCol w:w="109"/>
        <w:gridCol w:w="109"/>
        <w:gridCol w:w="109"/>
        <w:gridCol w:w="109"/>
        <w:gridCol w:w="266"/>
        <w:gridCol w:w="947"/>
        <w:gridCol w:w="138"/>
        <w:gridCol w:w="109"/>
        <w:gridCol w:w="109"/>
        <w:gridCol w:w="109"/>
        <w:gridCol w:w="211"/>
        <w:gridCol w:w="85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prior year acquisitions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Goodwill is recognized net of accumulated impairment losses of $133.2 million as of June 30, 2026 and December 31,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is required to regularly assess whether a triggering event has occurred which would require interim impairment testing. The Company determined that no triggering event had occurred as of June 30, 2026 which would require an interim impairment test to be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color w:val="000000"/>
          <w:sz w:val="20"/>
          <w:u w:val="single"/>
        </w:rPr>
      </w:pPr>
      <w:r>
        <w:rPr>
          <w:rFonts w:ascii="Arial;sans-serif" w:hAnsi="Arial;sans-serif"/>
          <w:b w:val="false"/>
          <w:color w:val="000000"/>
          <w:sz w:val="20"/>
          <w:u w:val="single"/>
        </w:rPr>
        <w:t>Intangible Assets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Intangible assets consisted of the following (in thousands):</w:t>
      </w:r>
    </w:p>
    <w:tbl>
      <w:tblPr>
        <w:tblW w:w="9207" w:type="dxa"/>
        <w:jc w:val="left"/>
        <w:tblInd w:w="0" w:type="dxa"/>
        <w:tblLayout w:type="fixed"/>
        <w:tblCellMar>
          <w:top w:w="28" w:type="dxa"/>
          <w:left w:w="28" w:type="dxa"/>
          <w:bottom w:w="28" w:type="dxa"/>
          <w:right w:w="28" w:type="dxa"/>
        </w:tblCellMar>
      </w:tblPr>
      <w:tblGrid>
        <w:gridCol w:w="1075"/>
        <w:gridCol w:w="946"/>
        <w:gridCol w:w="948"/>
        <w:gridCol w:w="211"/>
        <w:gridCol w:w="856"/>
        <w:gridCol w:w="109"/>
        <w:gridCol w:w="109"/>
        <w:gridCol w:w="109"/>
        <w:gridCol w:w="109"/>
        <w:gridCol w:w="260"/>
        <w:gridCol w:w="926"/>
        <w:gridCol w:w="135"/>
        <w:gridCol w:w="109"/>
        <w:gridCol w:w="109"/>
        <w:gridCol w:w="109"/>
        <w:gridCol w:w="211"/>
        <w:gridCol w:w="856"/>
        <w:gridCol w:w="109"/>
        <w:gridCol w:w="109"/>
        <w:gridCol w:w="109"/>
        <w:gridCol w:w="109"/>
        <w:gridCol w:w="260"/>
        <w:gridCol w:w="926"/>
        <w:gridCol w:w="135"/>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Unpatented technology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55,847 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55,847 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summarizes the intangible asset amortization expense (in thousands):</w:t>
      </w:r>
    </w:p>
    <w:tbl>
      <w:tblPr>
        <w:tblW w:w="7110" w:type="dxa"/>
        <w:jc w:val="left"/>
        <w:tblInd w:w="0" w:type="dxa"/>
        <w:tblLayout w:type="fixed"/>
        <w:tblCellMar>
          <w:top w:w="28" w:type="dxa"/>
          <w:left w:w="28" w:type="dxa"/>
          <w:bottom w:w="28" w:type="dxa"/>
          <w:right w:w="28" w:type="dxa"/>
        </w:tblCellMar>
      </w:tblPr>
      <w:tblGrid>
        <w:gridCol w:w="727"/>
        <w:gridCol w:w="640"/>
        <w:gridCol w:w="643"/>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64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Amortization expense related to intangible assets for the remainder of fiscal 2026 and the next five years thereafter is estimated as follows (in thousands):</w:t>
      </w:r>
    </w:p>
    <w:tbl>
      <w:tblPr>
        <w:tblW w:w="10116" w:type="dxa"/>
        <w:jc w:val="center"/>
        <w:tblInd w:w="0" w:type="dxa"/>
        <w:tblLayout w:type="fixed"/>
        <w:tblCellMar>
          <w:top w:w="28" w:type="dxa"/>
          <w:left w:w="28" w:type="dxa"/>
          <w:bottom w:w="28" w:type="dxa"/>
          <w:right w:w="28" w:type="dxa"/>
        </w:tblCellMar>
      </w:tblPr>
      <w:tblGrid>
        <w:gridCol w:w="727"/>
        <w:gridCol w:w="640"/>
        <w:gridCol w:w="64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50"/>
        <w:jc w:val="left"/>
        <w:rPr>
          <w:rFonts w:ascii="Arial;sans-serif" w:hAnsi="Arial;sans-serif"/>
          <w:b/>
          <w:color w:val="000000"/>
          <w:sz w:val="22"/>
        </w:rPr>
      </w:pPr>
      <w:r>
        <w:rPr>
          <w:rFonts w:ascii="Arial;sans-serif" w:hAnsi="Arial;sans-serif"/>
          <w:b/>
          <w:color w:val="000000"/>
          <w:sz w:val="22"/>
        </w:rPr>
        <w:t>(7)    LONG-TERM DEBT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summarizes the Company's long-term debt at June 30, 2026 (in thousands):</w:t>
      </w:r>
    </w:p>
    <w:tbl>
      <w:tblPr>
        <w:tblW w:w="4416" w:type="dxa"/>
        <w:jc w:val="left"/>
        <w:tblInd w:w="0" w:type="dxa"/>
        <w:tblLayout w:type="fixed"/>
        <w:tblCellMar>
          <w:top w:w="28" w:type="dxa"/>
          <w:left w:w="28" w:type="dxa"/>
          <w:bottom w:w="28" w:type="dxa"/>
          <w:right w:w="28" w:type="dxa"/>
        </w:tblCellMar>
      </w:tblPr>
      <w:tblGrid>
        <w:gridCol w:w="1098"/>
        <w:gridCol w:w="964"/>
        <w:gridCol w:w="968"/>
        <w:gridCol w:w="211"/>
        <w:gridCol w:w="102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A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B Facility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debt issuance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had no outstanding debt at December 31,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aggregate contractual maturities of long-term debt during each of the five annual periods after June 30, 2026 (in thousands):</w:t>
      </w:r>
    </w:p>
    <w:tbl>
      <w:tblPr>
        <w:tblW w:w="9644"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211"/>
        <w:gridCol w:w="406"/>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85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2031</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Aggregate amount of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Effective February 2, 2026</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Revolving Credit Facility, Term Loan A Facility and Term Loan B Facility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connection with the acquisition of OmniMax, on February 2, 2026, the Company entered into a new credit agreement (the "Credit Agreement") with Bank of America, N.A., as administrative agent and collateral agent, and other financial institutions party thereto. The Credit Agreement provides for (i) a senior secured revolving credit facility in an initial aggregate principal amount of up to $500 million (the "Revolving Credit Facility"), (ii) a senior secured term loan A facility in an initial aggregate principal amount of $650 million (the "Term Loan A Facility")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(iii) a senior secured term loan B facility in an initial aggregate principal amount of $650 million (the "Term Loan B Facility"). Letters of credit are available under the Credit Agreement in an aggregate amount of up to $100 million. The Company capitalized $29.3 million of debt issuance costs incurred in connection with the Credit Agreement. In addition, $0.8 million of unamortized deferred debt issuance costs related to the 2022 Credit Agreement were carried forward as the Credit Agreement was accounted for as a modification and are being amortized over the remaining term of the Credit Agreement.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Borrowings under the Credit Agreement, together with cash on hand, were used to fund the acquisition of OmniMax, refinance certain existing indebtedness of the Company, and pay related fees and expenses. The Revolving Credit Facility may be used for working capital and other general corporate purposes. The Revolving Credit Facility and Term Loan A Facility mature on February 2, 2031, and the Term Loan B Facility matures on February 2, 2033.</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Term Loan A Facility amortizes on a quarterly basis with escalating payment percentages over the life of the loan, with the remaining balance due at maturity. Quarterly principal amortization is required as follows: (i) 0.625% of the aggregate initial principal amount of the Term Loan A Facility for each fiscal quarter from the quarter ending June 30, 2026 through and including the quarter ending March 31, 2028; (ii) 1.25% of the aggregate initial principal amount of the Term Loan A Facility for each fiscal quarter from the quarter ending June 30, 2028 through and including the quarter ending March 31, 2030; and (iii) 1.875% of the aggregate initial principal amount of the Term Loan A Facility for each fiscal quarter from the quarter ending June 30, 2030 through and including the last full fiscal quarter prior to the maturity date. All remaining unpaid principal amounts of any outstanding Term Loan A Facility are due on the maturity date.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Term Loan B Facility amortizes on a quarterly basis at 0.25% of the aggregate initial principal amount of the Term Loan B Facility, with all remaining unpaid principal amounts of any outstanding Term Loan B Facility due on the maturity date.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February 2026, the Company made prepayments of $25.0 million on the Term Loan A Facility and $50.0 million of the Term Loan B Facility. In accordance with the Credit Agreement, such prepayments were applied to future scheduled amortization payments in order of maturity.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Borrowings under the Credit Agreement bear interest, at the Company's option, at an annual rate based on (a) adjusted term secured overnight financing rate ("SOFR"), defined in a customary manner, or (b) a base rate, in each case plus an applicable margin determined by the Company's consolidated first lien net leverage ratio.</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Term Loan A Facility and the Revolving Credit Facility, the applicable rate under the Credit Agreement ranges from 1.375% to 2.25% for Term SOFR loans and 0.375% to 1.25% for Base Rate loans, in each case based on the Company’s consolidated first lien net leverage ratio per the Credit Agreement. For the Term Loan B Facility, the applicable rate under the Credit Agreement ranges from 1.75% to 2.25% for Term SOFR loans and 0.75% to 1.25% for Base Rate loans, in each case based on the Company’s consolidated first lien net leverage ratio. Undrawn commitment fees under the Revolving Credit Facility range from 0.175% to 0.275% based on the Company’s consolidated first lien net leverage ratio.</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Company's obligations under the Credit Agreement are guaranteed by the Company's existing and subsequently acquired wholly owned domestic subsidiaries, subject to customary exceptions.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Credit Agreement contains financial covenants requiring the Company to maintain a maximum consolidated total net leverage ratio of 5.25 to 1.00, which steps down to 4.25 to 1.00 over time, and a minimum interest coverage ratio of 3.00 to 1.00, in each case measured as of the last day of each fiscal quarter, with measurement to commence on the last day of the first full fiscal quarter after February 2, 2026. The maximum consolidated total net leverage ratio may be increased at the Company's option by 0.50 times in connection with certain qualifying material acquisitions.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Credit Agreement contains certain affirmative and negative covenants that limit the ability of the Company, among other things and subject to certain significant exceptions, to incur debt or liens, make investments, enter into certain mergers, consolidations, asset sales and acquisitions, pay dividends and make other restricted payments and enter into transactions with affiliates. In addition, the Credit Agreement contains certain events of default, including relating to a change of control. If an event of default occurs, the lenders under the Credit Agreement will be entitled to take various actions, including the acceleration of amounts due under the Credit Agreement. As of June 30, 2026, the Company was in compliance with all financial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revolving credit facility availability under the Credit Agreement as of June 30, 2026 (in thousands):</w:t>
      </w:r>
    </w:p>
    <w:tbl>
      <w:tblPr>
        <w:tblW w:w="6755" w:type="dxa"/>
        <w:jc w:val="left"/>
        <w:tblInd w:w="0" w:type="dxa"/>
        <w:tblLayout w:type="fixed"/>
        <w:tblCellMar>
          <w:top w:w="28" w:type="dxa"/>
          <w:left w:w="28" w:type="dxa"/>
          <w:bottom w:w="28" w:type="dxa"/>
          <w:right w:w="28" w:type="dxa"/>
        </w:tblCellMar>
      </w:tblPr>
      <w:tblGrid>
        <w:gridCol w:w="2002"/>
        <w:gridCol w:w="1763"/>
        <w:gridCol w:w="1769"/>
        <w:gridCol w:w="211"/>
        <w:gridCol w:w="85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revolving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borrowings outstanding under the 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standby letters of credit issued to third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 availability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carrying values of borrowings under the Company's Revolving Credit Facility, Term Loan A Facility and Term Loan B Facility approximate fair value due to the variable rate features of these instruments. The fair value of the Revolving Credit Facility, Term Loan A Facility and Term Loan B Facility are classified as Level 2 within the fair value hierarchy as they are determined using observable market inputs other than quoted price for identical instruments in active markets.</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Prior to February 2, 2026</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 xml:space="preserve">Revolving Credit Facility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December 8, 2022, the Company entered into a credit agreement (the "2022 Credit Agreement") which provided for a revolving credit facility and letters of credit in an aggregate amount equal to $400 million. At December 31, 2025, the Company had no outstanding borrowings and had $6.2 million of letters of credit issued to third parties. In connection with entering into the Credit Agreement, on February 2, 2026, the Company terminated the 2022 Credit Agreement. There were no outstanding borrowings under the 2022 Credit Agreement as of the date of termination or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rFonts w:ascii="Arial;sans-serif" w:hAnsi="Arial;sans-serif"/>
          <w:b/>
          <w:color w:val="000000"/>
          <w:sz w:val="22"/>
        </w:rPr>
      </w:pPr>
      <w:r>
        <w:rPr>
          <w:rFonts w:ascii="Arial;sans-serif" w:hAnsi="Arial;sans-serif"/>
          <w:b/>
          <w:color w:val="000000"/>
          <w:sz w:val="22"/>
        </w:rPr>
        <w:t>(8)    EQUITY-BASED COMPENSATION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Gibraltar Industries, Inc. Amended and Restated 2018 Equity Incentive Plan (the "Amended 2018 Plan"), which includes a total of 1,631,707 shares available for issuance, allows the Company to grant equity-based incentive compensation awards in the form of non-qualified options, restricted shares, restricted stock units, performance shares, performance stock units, and stock rights to eligible participants.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Gibraltar Industries, Inc. Amended and Restated 2016 Stock Plan for Non-Employee Directors (the "Non-Employee Directors Plan"), which includes 200,000 shares available for issuance, allows the Company to grant awards of shares of the Company's common stock to current non-employee directors of the Company, and permits the Directors to defer receipt of such shares pursuant to the terms of the Non-Employee Directors Plan.</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Equity-Based Awards - Settled in Stock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provides the number of stock units granted, along with the weighted-average grant-date fair value of each award, during the six months ended June 30,:</w:t>
      </w:r>
    </w:p>
    <w:tbl>
      <w:tblPr>
        <w:tblW w:w="8486" w:type="dxa"/>
        <w:jc w:val="center"/>
        <w:tblInd w:w="0" w:type="dxa"/>
        <w:tblLayout w:type="fixed"/>
        <w:tblCellMar>
          <w:top w:w="28" w:type="dxa"/>
          <w:left w:w="28" w:type="dxa"/>
          <w:bottom w:w="28" w:type="dxa"/>
          <w:right w:w="28" w:type="dxa"/>
        </w:tblCellMar>
      </w:tblPr>
      <w:tblGrid>
        <w:gridCol w:w="918"/>
        <w:gridCol w:w="805"/>
        <w:gridCol w:w="811"/>
        <w:gridCol w:w="109"/>
        <w:gridCol w:w="109"/>
        <w:gridCol w:w="109"/>
        <w:gridCol w:w="428"/>
        <w:gridCol w:w="428"/>
        <w:gridCol w:w="361"/>
        <w:gridCol w:w="109"/>
        <w:gridCol w:w="109"/>
        <w:gridCol w:w="109"/>
        <w:gridCol w:w="236"/>
        <w:gridCol w:w="722"/>
        <w:gridCol w:w="123"/>
        <w:gridCol w:w="109"/>
        <w:gridCol w:w="109"/>
        <w:gridCol w:w="109"/>
        <w:gridCol w:w="428"/>
        <w:gridCol w:w="428"/>
        <w:gridCol w:w="361"/>
        <w:gridCol w:w="110"/>
        <w:gridCol w:w="110"/>
        <w:gridCol w:w="110"/>
        <w:gridCol w:w="235"/>
        <w:gridCol w:w="719"/>
        <w:gridCol w:w="172"/>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 of</w:t>
              <w:br/>
              <w:t>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 of</w:t>
              <w:br/>
              <w:t>Awards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Grant-Date</w:t>
              <w:br/>
              <w:t>Fair Value</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stock units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208,858 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137,940 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(1)    The Company’s performance stock units (“PSUs”) represent target shares granted for which the final number of shares earned depends on financial performance.</w:t>
      </w:r>
    </w:p>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(2)    Includes 74,440 of target PSUs granted, none of which were earned or will be issued, as actual performance did not exceed the minimum achievement threshold.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val="false"/>
          <w:i/>
          <w:color w:val="000000"/>
          <w:sz w:val="20"/>
          <w:u w:val="single"/>
        </w:rPr>
      </w:pPr>
      <w:r>
        <w:rPr>
          <w:rFonts w:ascii="Arial;sans-serif" w:hAnsi="Arial;sans-serif"/>
          <w:b w:val="false"/>
          <w:i/>
          <w:color w:val="000000"/>
          <w:sz w:val="20"/>
          <w:u w:val="single"/>
        </w:rPr>
        <w:t>Equity-Based Awards - Settled in Cash</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equity-based awards that are settled in cash are the awards under the Management Stock Purchase Plan (the “MSPP”) which is authorized under the Company's equity incentive plans. The MSPP provides participants the ability to defer a portion of their compensation, convertible to unrestricted investments, restricted stock units, or a combination of both, or defer a portion of their directors’ fees, convertible to restricted stock units. Employees eligible to defer a portion of their compensation also receive a company-matching award in restricted stock units equal to a percentage of their deferred compensation.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deferrals and related company match are credited to an account that represents a share-based liability. The portion of the account deferred to unrestricted investments is measured at fair market value of the unrestricted investments, and the portion of the account deferred to restricted stock units and company-matching restricted stock units is measured at a 200-day average of the Company’s stock price. The account will be converted to and settled in cash payable to participants upon retirement or a termination of their service to the Company.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Total MSPP liabilities recorded on the consolidated balance sheet as of June 30, 2026 were $19.3 million, of which $2.5 million was included in current accrued expenses and $16.8 million was included in non-current liabilities. Total MSPP liabilities recorded on the consolidated balance sheet as of December 31, 2025 were $22.2 million, of which $3.1 million was included in current accrued expenses and $19.1 million was included in non-current liabilities. The value of the restricted stock units within the MSPP liabilities was $11.3 million and $15.7 million at June 30, 2026 and December 31, 2025, respectively.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provides the number of restricted stock units credited to active participant accounts and the payments made with respect to MSPP liabilities:</w:t>
      </w:r>
    </w:p>
    <w:tbl>
      <w:tblPr>
        <w:tblW w:w="5514" w:type="dxa"/>
        <w:jc w:val="left"/>
        <w:tblInd w:w="0" w:type="dxa"/>
        <w:tblLayout w:type="fixed"/>
        <w:tblCellMar>
          <w:top w:w="28" w:type="dxa"/>
          <w:left w:w="28" w:type="dxa"/>
          <w:bottom w:w="28" w:type="dxa"/>
          <w:right w:w="28" w:type="dxa"/>
        </w:tblCellMar>
      </w:tblPr>
      <w:tblGrid>
        <w:gridCol w:w="1162"/>
        <w:gridCol w:w="1021"/>
        <w:gridCol w:w="1027"/>
        <w:gridCol w:w="211"/>
        <w:gridCol w:w="646"/>
        <w:gridCol w:w="109"/>
        <w:gridCol w:w="109"/>
        <w:gridCol w:w="109"/>
        <w:gridCol w:w="109"/>
        <w:gridCol w:w="211"/>
        <w:gridCol w:w="64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Restricted stock units credited </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MSPP liabilities paid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(9)    EXIT ACTIVITY COSTS AND ASSET IMPAIRMENTS</w:t>
      </w:r>
    </w:p>
    <w:p>
      <w:pPr>
        <w:pStyle w:val="TextBody"/>
        <w:bidi w:val="0"/>
        <w:spacing w:lineRule="auto" w:line="288" w:before="100" w:after="283"/>
        <w:jc w:val="both"/>
        <w:rPr/>
      </w:pPr>
      <w:r>
        <w:rPr>
          <w:rFonts w:ascii="Arial;sans-serif" w:hAnsi="Arial;sans-serif"/>
          <w:b w:val="false"/>
          <w:color w:val="000000"/>
          <w:sz w:val="20"/>
        </w:rPr>
        <w:t>The Company periodically undertakes restructuring initiatives as part of its focus to improve operating performance and optimize its business portfolio. These initiatives have led to reorganizing the Company's manufacturing footprint, outsourcing or discontinuing low-volume, low margin products, or selling or exiting less profitable businesses or product lines. As a result, the Company has incurred costs related to discrete restructuring events for moving and closing facilities, severance and inventory write-downs during the six months ended June 30, 2026</w:t>
      </w:r>
      <w:r>
        <w:rPr>
          <w:rFonts w:ascii="Times New Roman;serif" w:hAnsi="Times New Roman;serif"/>
          <w:b w:val="false"/>
          <w:color w:val="000000"/>
          <w:sz w:val="20"/>
        </w:rPr>
        <w: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tables set forth the exit activity costs and asset impairment charges (recoveries) incurred by segment related to the restructuring activities described above (in thousands):</w:t>
      </w:r>
    </w:p>
    <w:tbl>
      <w:tblPr>
        <w:tblW w:w="10205" w:type="dxa"/>
        <w:jc w:val="left"/>
        <w:tblInd w:w="0" w:type="dxa"/>
        <w:tblLayout w:type="fixed"/>
        <w:tblCellMar>
          <w:top w:w="28" w:type="dxa"/>
          <w:left w:w="28" w:type="dxa"/>
          <w:bottom w:w="28" w:type="dxa"/>
          <w:right w:w="28" w:type="dxa"/>
        </w:tblCellMar>
      </w:tblPr>
      <w:tblGrid>
        <w:gridCol w:w="461"/>
        <w:gridCol w:w="406"/>
        <w:gridCol w:w="409"/>
        <w:gridCol w:w="245"/>
        <w:gridCol w:w="752"/>
        <w:gridCol w:w="126"/>
        <w:gridCol w:w="109"/>
        <w:gridCol w:w="109"/>
        <w:gridCol w:w="109"/>
        <w:gridCol w:w="445"/>
        <w:gridCol w:w="856"/>
        <w:gridCol w:w="231"/>
        <w:gridCol w:w="109"/>
        <w:gridCol w:w="109"/>
        <w:gridCol w:w="109"/>
        <w:gridCol w:w="211"/>
        <w:gridCol w:w="646"/>
        <w:gridCol w:w="109"/>
        <w:gridCol w:w="109"/>
        <w:gridCol w:w="109"/>
        <w:gridCol w:w="109"/>
        <w:gridCol w:w="245"/>
        <w:gridCol w:w="752"/>
        <w:gridCol w:w="126"/>
        <w:gridCol w:w="109"/>
        <w:gridCol w:w="109"/>
        <w:gridCol w:w="109"/>
        <w:gridCol w:w="403"/>
        <w:gridCol w:w="921"/>
        <w:gridCol w:w="209"/>
        <w:gridCol w:w="109"/>
        <w:gridCol w:w="109"/>
        <w:gridCol w:w="109"/>
        <w:gridCol w:w="211"/>
        <w:gridCol w:w="646"/>
        <w:gridCol w:w="160"/>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Exit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Exit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1"/>
        <w:gridCol w:w="406"/>
        <w:gridCol w:w="409"/>
        <w:gridCol w:w="245"/>
        <w:gridCol w:w="752"/>
        <w:gridCol w:w="126"/>
        <w:gridCol w:w="109"/>
        <w:gridCol w:w="109"/>
        <w:gridCol w:w="109"/>
        <w:gridCol w:w="403"/>
        <w:gridCol w:w="921"/>
        <w:gridCol w:w="209"/>
        <w:gridCol w:w="109"/>
        <w:gridCol w:w="109"/>
        <w:gridCol w:w="109"/>
        <w:gridCol w:w="211"/>
        <w:gridCol w:w="646"/>
        <w:gridCol w:w="109"/>
        <w:gridCol w:w="109"/>
        <w:gridCol w:w="109"/>
        <w:gridCol w:w="109"/>
        <w:gridCol w:w="245"/>
        <w:gridCol w:w="752"/>
        <w:gridCol w:w="126"/>
        <w:gridCol w:w="109"/>
        <w:gridCol w:w="109"/>
        <w:gridCol w:w="109"/>
        <w:gridCol w:w="403"/>
        <w:gridCol w:w="921"/>
        <w:gridCol w:w="209"/>
        <w:gridCol w:w="109"/>
        <w:gridCol w:w="109"/>
        <w:gridCol w:w="109"/>
        <w:gridCol w:w="211"/>
        <w:gridCol w:w="646"/>
        <w:gridCol w:w="15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Exit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Exit Activity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 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a summary of where the exit activity costs and asset impairments were recorded in the consolidated statements of operations (in thousands):</w:t>
      </w:r>
    </w:p>
    <w:tbl>
      <w:tblPr>
        <w:tblW w:w="9254" w:type="dxa"/>
        <w:jc w:val="center"/>
        <w:tblInd w:w="0" w:type="dxa"/>
        <w:tblLayout w:type="fixed"/>
        <w:tblCellMar>
          <w:top w:w="28" w:type="dxa"/>
          <w:left w:w="28" w:type="dxa"/>
          <w:bottom w:w="28" w:type="dxa"/>
          <w:right w:w="28" w:type="dxa"/>
        </w:tblCellMar>
      </w:tblPr>
      <w:tblGrid>
        <w:gridCol w:w="1578"/>
        <w:gridCol w:w="1385"/>
        <w:gridCol w:w="140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exit activity and asset impairment charges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reconciles the beginning and ending liability for exit activity costs recorded in current accrued expenses on the consolidated balance sheets relating to the Company’s restructuring efforts (in thousands):</w:t>
      </w:r>
    </w:p>
    <w:tbl>
      <w:tblPr>
        <w:tblW w:w="4852" w:type="dxa"/>
        <w:jc w:val="left"/>
        <w:tblInd w:w="0" w:type="dxa"/>
        <w:tblLayout w:type="fixed"/>
        <w:tblCellMar>
          <w:top w:w="28" w:type="dxa"/>
          <w:left w:w="28" w:type="dxa"/>
          <w:bottom w:w="28" w:type="dxa"/>
          <w:right w:w="28" w:type="dxa"/>
        </w:tblCellMar>
      </w:tblPr>
      <w:tblGrid>
        <w:gridCol w:w="977"/>
        <w:gridCol w:w="860"/>
        <w:gridCol w:w="863"/>
        <w:gridCol w:w="211"/>
        <w:gridCol w:w="646"/>
        <w:gridCol w:w="109"/>
        <w:gridCol w:w="109"/>
        <w:gridCol w:w="109"/>
        <w:gridCol w:w="109"/>
        <w:gridCol w:w="215"/>
        <w:gridCol w:w="490"/>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Exit activity costs recognized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rFonts w:ascii="Arial;sans-serif" w:hAnsi="Arial;sans-serif"/>
          <w:b/>
          <w:color w:val="000000"/>
          <w:sz w:val="22"/>
        </w:rPr>
      </w:pPr>
      <w:r>
        <w:rPr>
          <w:rFonts w:ascii="Arial;sans-serif" w:hAnsi="Arial;sans-serif"/>
          <w:b/>
          <w:color w:val="000000"/>
          <w:sz w:val="22"/>
        </w:rPr>
        <w:t>(10)    INCOME TAXES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summarizes the provision for income taxes for continuing operations and the applicable effective tax rates:</w:t>
      </w:r>
    </w:p>
    <w:tbl>
      <w:tblPr>
        <w:tblW w:w="9542" w:type="dxa"/>
        <w:jc w:val="left"/>
        <w:tblInd w:w="0" w:type="dxa"/>
        <w:tblLayout w:type="fixed"/>
        <w:tblCellMar>
          <w:top w:w="28" w:type="dxa"/>
          <w:left w:w="28" w:type="dxa"/>
          <w:bottom w:w="28" w:type="dxa"/>
          <w:right w:w="28" w:type="dxa"/>
        </w:tblCellMar>
      </w:tblPr>
      <w:tblGrid>
        <w:gridCol w:w="1353"/>
        <w:gridCol w:w="1189"/>
        <w:gridCol w:w="1192"/>
        <w:gridCol w:w="211"/>
        <w:gridCol w:w="751"/>
        <w:gridCol w:w="286"/>
        <w:gridCol w:w="109"/>
        <w:gridCol w:w="109"/>
        <w:gridCol w:w="109"/>
        <w:gridCol w:w="211"/>
        <w:gridCol w:w="646"/>
        <w:gridCol w:w="286"/>
        <w:gridCol w:w="109"/>
        <w:gridCol w:w="109"/>
        <w:gridCol w:w="109"/>
        <w:gridCol w:w="211"/>
        <w:gridCol w:w="646"/>
        <w:gridCol w:w="286"/>
        <w:gridCol w:w="109"/>
        <w:gridCol w:w="109"/>
        <w:gridCol w:w="109"/>
        <w:gridCol w:w="211"/>
        <w:gridCol w:w="751"/>
        <w:gridCol w:w="331"/>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effective tax rate for the three and six months ended June 30, 2026 was greater than the U.S. federal statutory rate of 21% due to state taxes and nondeductible permanent differences partially offset by benefits related to tax credit generation or utilization.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effective tax rate for the three and six months ended June 30, 2025 was greater than the U.S. federal statutory rate of 21% due to state taxes and nondeductible permanent differences partially offset by benefits related to tax credit generation or utilization and favorable discrete items due to an excess tax benefit on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(11)    EARNINGS PER SHARE</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Weighted average shares outstanding for basic and diluted earnings were as follows (in thousands):</w:t>
      </w:r>
    </w:p>
    <w:tbl>
      <w:tblPr>
        <w:tblW w:w="10205" w:type="dxa"/>
        <w:jc w:val="center"/>
        <w:tblInd w:w="0" w:type="dxa"/>
        <w:tblLayout w:type="fixed"/>
        <w:tblCellMar>
          <w:top w:w="28" w:type="dxa"/>
          <w:left w:w="28" w:type="dxa"/>
          <w:bottom w:w="28" w:type="dxa"/>
          <w:right w:w="28" w:type="dxa"/>
        </w:tblCellMar>
      </w:tblPr>
      <w:tblGrid>
        <w:gridCol w:w="1717"/>
        <w:gridCol w:w="1507"/>
        <w:gridCol w:w="1515"/>
        <w:gridCol w:w="407"/>
        <w:gridCol w:w="344"/>
        <w:gridCol w:w="218"/>
        <w:gridCol w:w="218"/>
        <w:gridCol w:w="218"/>
        <w:gridCol w:w="218"/>
        <w:gridCol w:w="407"/>
        <w:gridCol w:w="344"/>
        <w:gridCol w:w="218"/>
        <w:gridCol w:w="109"/>
        <w:gridCol w:w="109"/>
        <w:gridCol w:w="109"/>
        <w:gridCol w:w="375"/>
        <w:gridCol w:w="376"/>
        <w:gridCol w:w="192"/>
        <w:gridCol w:w="191"/>
        <w:gridCol w:w="191"/>
        <w:gridCol w:w="191"/>
        <w:gridCol w:w="375"/>
        <w:gridCol w:w="376"/>
        <w:gridCol w:w="280"/>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29,770 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29,717 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common stock options and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weighted average shares outstanding</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30,133 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provides the potential anti-dilutive common stock units not included in the diluted weighted average shares calculations (in thousands):</w:t>
      </w:r>
    </w:p>
    <w:tbl>
      <w:tblPr>
        <w:tblW w:w="6230" w:type="dxa"/>
        <w:jc w:val="left"/>
        <w:tblInd w:w="0" w:type="dxa"/>
        <w:tblLayout w:type="fixed"/>
        <w:tblCellMar>
          <w:top w:w="28" w:type="dxa"/>
          <w:left w:w="28" w:type="dxa"/>
          <w:bottom w:w="28" w:type="dxa"/>
          <w:right w:w="28" w:type="dxa"/>
        </w:tblCellMar>
      </w:tblPr>
      <w:tblGrid>
        <w:gridCol w:w="716"/>
        <w:gridCol w:w="631"/>
        <w:gridCol w:w="633"/>
        <w:gridCol w:w="260"/>
        <w:gridCol w:w="226"/>
        <w:gridCol w:w="226"/>
        <w:gridCol w:w="226"/>
        <w:gridCol w:w="226"/>
        <w:gridCol w:w="226"/>
        <w:gridCol w:w="226"/>
        <w:gridCol w:w="226"/>
        <w:gridCol w:w="226"/>
        <w:gridCol w:w="109"/>
        <w:gridCol w:w="109"/>
        <w:gridCol w:w="109"/>
        <w:gridCol w:w="197"/>
        <w:gridCol w:w="197"/>
        <w:gridCol w:w="197"/>
        <w:gridCol w:w="197"/>
        <w:gridCol w:w="197"/>
        <w:gridCol w:w="197"/>
        <w:gridCol w:w="197"/>
        <w:gridCol w:w="197"/>
        <w:gridCol w:w="279"/>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Common stock units </w:t>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(12)    SEGMENT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three reportable segments: Residential, Agtech, and Infrastructure. The Company's reportable segments are each managed separately because they design, engineer, manufacture, and where applicable install, distinct products with different production processes.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Residential consists of operating segments that sell the following products and services to major retail home centers, building material wholesalers, building product distributors, roofing distributors, residential contractors, property management companies, manufactured housing dealers, postal services distributors and providers, and online direct to end consumers: roofing accessories, metal roofing products and services, rain dispersion products, roof and foundation ventilation products, single point and centralized mail and package solutions, outdoor living space products (sun-shading), and other construction accessories.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Agtech consists of operating segments that sell the following products and services to large-scale indoor commercial growers of fruits and vegetables, plants and flowers, and agricultural research and development facilities, as well as convenience store, travel centers, food retailers, and quick-serve restaurants: design, manufacture and build controlled environment agriculture structures, custom greenhouses and structural canopies.</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20"/>
        </w:rPr>
        <w:t>Infrastructure consists of an operating segment that sells the following products to commercial and transportation contractors and fabricators: expansion joints, structural bearings, rubber pre-formed seals and other sealants, elastomeric concrete, and bridge cable protection systems.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accounting policies of the Company's segments are the same as those described in Note 1 "Summary of Significant Accounting Policies" included in the Company's annual report on Form 10-K for the year ended December 31, 2025. The following tables illustrate certain measurements used by management to assess the performance of the segments described above (in thousands):</w:t>
      </w:r>
    </w:p>
    <w:tbl>
      <w:tblPr>
        <w:tblW w:w="10059" w:type="dxa"/>
        <w:jc w:val="left"/>
        <w:tblInd w:w="0" w:type="dxa"/>
        <w:tblLayout w:type="fixed"/>
        <w:tblCellMar>
          <w:top w:w="28" w:type="dxa"/>
          <w:left w:w="28" w:type="dxa"/>
          <w:bottom w:w="28" w:type="dxa"/>
          <w:right w:w="28" w:type="dxa"/>
        </w:tblCellMar>
      </w:tblPr>
      <w:tblGrid>
        <w:gridCol w:w="1537"/>
        <w:gridCol w:w="1352"/>
        <w:gridCol w:w="1370"/>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24,863 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Less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expenses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19,016 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437,290 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Segment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72,257 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15"/>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Reconciliation of segment profit</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(20,965)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37,959 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tbl>
      <w:tblPr>
        <w:tblW w:w="10059" w:type="dxa"/>
        <w:jc w:val="left"/>
        <w:tblInd w:w="0" w:type="dxa"/>
        <w:tblLayout w:type="fixed"/>
        <w:tblCellMar>
          <w:top w:w="28" w:type="dxa"/>
          <w:left w:w="28" w:type="dxa"/>
          <w:bottom w:w="28" w:type="dxa"/>
          <w:right w:w="28" w:type="dxa"/>
        </w:tblCellMar>
      </w:tblPr>
      <w:tblGrid>
        <w:gridCol w:w="1537"/>
        <w:gridCol w:w="1352"/>
        <w:gridCol w:w="1370"/>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Less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expenses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18,084 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259,317 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Segment profit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7,083 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15"/>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Reconciliation of segment profit</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39,257 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64" w:type="dxa"/>
        <w:jc w:val="left"/>
        <w:tblInd w:w="0" w:type="dxa"/>
        <w:tblLayout w:type="fixed"/>
        <w:tblCellMar>
          <w:top w:w="28" w:type="dxa"/>
          <w:left w:w="28" w:type="dxa"/>
          <w:bottom w:w="28" w:type="dxa"/>
          <w:right w:w="28" w:type="dxa"/>
        </w:tblCellMar>
      </w:tblPr>
      <w:tblGrid>
        <w:gridCol w:w="1537"/>
        <w:gridCol w:w="1352"/>
        <w:gridCol w:w="1370"/>
        <w:gridCol w:w="211"/>
        <w:gridCol w:w="856"/>
        <w:gridCol w:w="109"/>
        <w:gridCol w:w="109"/>
        <w:gridCol w:w="109"/>
        <w:gridCol w:w="109"/>
        <w:gridCol w:w="211"/>
        <w:gridCol w:w="856"/>
        <w:gridCol w:w="109"/>
        <w:gridCol w:w="109"/>
        <w:gridCol w:w="109"/>
        <w:gridCol w:w="109"/>
        <w:gridCol w:w="266"/>
        <w:gridCol w:w="947"/>
        <w:gridCol w:w="138"/>
        <w:gridCol w:w="109"/>
        <w:gridCol w:w="109"/>
        <w:gridCol w:w="109"/>
        <w:gridCol w:w="211"/>
        <w:gridCol w:w="85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707,287 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44,085 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Less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expenses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626,538 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34,521 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766,287 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Segment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80,749 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15"/>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Reconciliation of segment profit</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59" w:type="dxa"/>
        <w:jc w:val="left"/>
        <w:tblInd w:w="0" w:type="dxa"/>
        <w:tblLayout w:type="fixed"/>
        <w:tblCellMar>
          <w:top w:w="28" w:type="dxa"/>
          <w:left w:w="28" w:type="dxa"/>
          <w:bottom w:w="28" w:type="dxa"/>
          <w:right w:w="28" w:type="dxa"/>
        </w:tblCellMar>
      </w:tblPr>
      <w:tblGrid>
        <w:gridCol w:w="1537"/>
        <w:gridCol w:w="1352"/>
        <w:gridCol w:w="1370"/>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46,490 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Less (1):</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expenses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34,149 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465,771 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Segment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74,871 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12,341 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90,103 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15"/>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u w:val="single"/>
              </w:rPr>
            </w:pPr>
            <w:r>
              <w:rPr>
                <w:rFonts w:ascii="Arial;sans-serif" w:hAnsi="Arial;sans-serif"/>
                <w:b w:val="false"/>
                <w:i/>
                <w:color w:val="000000"/>
                <w:sz w:val="20"/>
                <w:u w:val="single"/>
              </w:rPr>
              <w:t>Reconciliation of segment profit</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Income before taxes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69,473 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Footnotes:</w:t>
      </w:r>
    </w:p>
    <w:p>
      <w:pPr>
        <w:pStyle w:val="TextBody"/>
        <w:bidi w:val="0"/>
        <w:spacing w:lineRule="auto" w:line="288" w:before="0" w:after="60"/>
        <w:ind w:left="0" w:right="0" w:hanging="360"/>
        <w:jc w:val="both"/>
        <w:rPr>
          <w:rFonts w:ascii="Arial;sans-serif" w:hAnsi="Arial;sans-serif"/>
          <w:b w:val="false"/>
          <w:color w:val="000000"/>
          <w:sz w:val="20"/>
        </w:rPr>
      </w:pPr>
      <w:r>
        <w:rPr>
          <w:rFonts w:ascii="Arial;sans-serif" w:hAnsi="Arial;sans-serif"/>
          <w:b w:val="false"/>
          <w:color w:val="000000"/>
          <w:sz w:val="20"/>
        </w:rPr>
        <w:t>(1)The significant expense category and amounts align with the segment-level information that is regularly provided to the CODM.</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(2)Operating expenses for each reportable segment includes inventory and manufacturing expenses, employee compensation, depreciation and amortization, freight services, other costs of sales expenses, and other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the reported segments' and unallocated corporate reported depreciation and amortization (in thousands):</w:t>
      </w:r>
    </w:p>
    <w:tbl>
      <w:tblPr>
        <w:tblW w:w="8370" w:type="dxa"/>
        <w:jc w:val="left"/>
        <w:tblInd w:w="0" w:type="dxa"/>
        <w:tblLayout w:type="fixed"/>
        <w:tblCellMar>
          <w:top w:w="28" w:type="dxa"/>
          <w:left w:w="28" w:type="dxa"/>
          <w:bottom w:w="28" w:type="dxa"/>
          <w:right w:w="28" w:type="dxa"/>
        </w:tblCellMar>
      </w:tblPr>
      <w:tblGrid>
        <w:gridCol w:w="1143"/>
        <w:gridCol w:w="1007"/>
        <w:gridCol w:w="1015"/>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the assets of the reported segments, unallocated corporate assets and assets of discontinued operations as of (in thousands):</w:t>
      </w:r>
    </w:p>
    <w:tbl>
      <w:tblPr>
        <w:tblW w:w="6151" w:type="dxa"/>
        <w:jc w:val="center"/>
        <w:tblInd w:w="0" w:type="dxa"/>
        <w:tblLayout w:type="fixed"/>
        <w:tblCellMar>
          <w:top w:w="28" w:type="dxa"/>
          <w:left w:w="28" w:type="dxa"/>
          <w:bottom w:w="28" w:type="dxa"/>
          <w:right w:w="28" w:type="dxa"/>
        </w:tblCellMar>
      </w:tblPr>
      <w:tblGrid>
        <w:gridCol w:w="1111"/>
        <w:gridCol w:w="978"/>
        <w:gridCol w:w="985"/>
        <w:gridCol w:w="211"/>
        <w:gridCol w:w="1021"/>
        <w:gridCol w:w="109"/>
        <w:gridCol w:w="109"/>
        <w:gridCol w:w="109"/>
        <w:gridCol w:w="109"/>
        <w:gridCol w:w="214"/>
        <w:gridCol w:w="1039"/>
        <w:gridCol w:w="156"/>
      </w:tblGrid>
      <w:tr>
        <w:trPr/>
        <w:tc>
          <w:tcPr>
            <w:tcW w:w="11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639,397 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of discontinued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presents disaggregated revenue by timing of transfer of control to customers by reported segment (in thousands):</w:t>
      </w:r>
    </w:p>
    <w:tbl>
      <w:tblPr>
        <w:tblW w:w="7209" w:type="dxa"/>
        <w:jc w:val="center"/>
        <w:tblInd w:w="0" w:type="dxa"/>
        <w:tblLayout w:type="fixed"/>
        <w:tblCellMar>
          <w:top w:w="28" w:type="dxa"/>
          <w:left w:w="28" w:type="dxa"/>
          <w:bottom w:w="28" w:type="dxa"/>
          <w:right w:w="28" w:type="dxa"/>
        </w:tblCellMar>
      </w:tblPr>
      <w:tblGrid>
        <w:gridCol w:w="511"/>
        <w:gridCol w:w="447"/>
        <w:gridCol w:w="451"/>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2026</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09" w:type="dxa"/>
        <w:jc w:val="center"/>
        <w:tblInd w:w="0" w:type="dxa"/>
        <w:tblLayout w:type="fixed"/>
        <w:tblCellMar>
          <w:top w:w="28" w:type="dxa"/>
          <w:left w:w="28" w:type="dxa"/>
          <w:bottom w:w="28" w:type="dxa"/>
          <w:right w:w="28" w:type="dxa"/>
        </w:tblCellMar>
      </w:tblPr>
      <w:tblGrid>
        <w:gridCol w:w="511"/>
        <w:gridCol w:w="447"/>
        <w:gridCol w:w="451"/>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14" w:type="dxa"/>
        <w:jc w:val="center"/>
        <w:tblInd w:w="0" w:type="dxa"/>
        <w:tblLayout w:type="fixed"/>
        <w:tblCellMar>
          <w:top w:w="28" w:type="dxa"/>
          <w:left w:w="28" w:type="dxa"/>
          <w:bottom w:w="28" w:type="dxa"/>
          <w:right w:w="28" w:type="dxa"/>
        </w:tblCellMar>
      </w:tblPr>
      <w:tblGrid>
        <w:gridCol w:w="511"/>
        <w:gridCol w:w="447"/>
        <w:gridCol w:w="451"/>
        <w:gridCol w:w="211"/>
        <w:gridCol w:w="856"/>
        <w:gridCol w:w="109"/>
        <w:gridCol w:w="109"/>
        <w:gridCol w:w="109"/>
        <w:gridCol w:w="109"/>
        <w:gridCol w:w="211"/>
        <w:gridCol w:w="856"/>
        <w:gridCol w:w="109"/>
        <w:gridCol w:w="109"/>
        <w:gridCol w:w="109"/>
        <w:gridCol w:w="109"/>
        <w:gridCol w:w="266"/>
        <w:gridCol w:w="947"/>
        <w:gridCol w:w="138"/>
        <w:gridCol w:w="109"/>
        <w:gridCol w:w="109"/>
        <w:gridCol w:w="109"/>
        <w:gridCol w:w="211"/>
        <w:gridCol w:w="85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2026</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44,085 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09" w:type="dxa"/>
        <w:jc w:val="center"/>
        <w:tblInd w:w="0" w:type="dxa"/>
        <w:tblLayout w:type="fixed"/>
        <w:tblCellMar>
          <w:top w:w="28" w:type="dxa"/>
          <w:left w:w="28" w:type="dxa"/>
          <w:bottom w:w="28" w:type="dxa"/>
          <w:right w:w="28" w:type="dxa"/>
        </w:tblCellMar>
      </w:tblPr>
      <w:tblGrid>
        <w:gridCol w:w="511"/>
        <w:gridCol w:w="447"/>
        <w:gridCol w:w="451"/>
        <w:gridCol w:w="211"/>
        <w:gridCol w:w="856"/>
        <w:gridCol w:w="109"/>
        <w:gridCol w:w="109"/>
        <w:gridCol w:w="109"/>
        <w:gridCol w:w="109"/>
        <w:gridCol w:w="211"/>
        <w:gridCol w:w="751"/>
        <w:gridCol w:w="109"/>
        <w:gridCol w:w="109"/>
        <w:gridCol w:w="109"/>
        <w:gridCol w:w="109"/>
        <w:gridCol w:w="266"/>
        <w:gridCol w:w="947"/>
        <w:gridCol w:w="138"/>
        <w:gridCol w:w="109"/>
        <w:gridCol w:w="109"/>
        <w:gridCol w:w="109"/>
        <w:gridCol w:w="211"/>
        <w:gridCol w:w="85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Agtech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 Time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(13)    DISCONTINUED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June 2025, the Company committed to a plan to sell its Renewables business, which represents a strategic shift in operations. The decision was driven by a change in the Company's strategy to focus its asset portfolio and resources on its Residential, Agtech and Infrastructure segments. The Renewables business was classified as held for sale as of June 30, 2025, and met the criteria for discontinued operations. On February 20, 2026, the Company completed the sale of certain assets related to the Renewables business to a third-party, as described below. Subsequent to June 30, 2026, the Company completed the sale of the remaining portion of the Renewables business to a third-party, refer to Note 14 "Subsequent Event" for additional information. The Renewables business was previously reported under the Renewables segment in accordance with ASC Subtopic 280.</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During the three and six months ended June 30, 2026, and as of December 31, 2025, the Renewables business remained classified as held for sale and as a discontinued operation. As of March 31, 2026, the Company performed a fair value less cost to sell analysis at each reporting date and determined that its carrying amount exceeded fair value less costs to sell. As a result, the Company recorded a remeasurement adjustment before income taxes of $47.4 million, which is included in the loss before taxes from discontinued operations on the consolidated statements of operations for the six months ended June 30, 2026. As of June 30, 2026, the Company updated its fair value less cost to sell analysis and again determined that its carrying amount exceeded fair value less costs to sell. Accordingly, the Company recorded an additional remeasurement adjustment before income taxes of $20.0 million, which is included in the loss before taxes from discontinued operations on the consolidated statements of operations for the three months ended June 30, 2026. Total remeasurement adjustments before income taxes recorded during the six months ended June 30, 2026 were $67.4 million. The fair value measurement is categorized within Level 3 of the fair value hierarchy based on significant unobservable inputs in accordance with ASC Topic 820.</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the carrying amounts and a reconciliation of the major classes of assets and liabilities included in discontinued operations related to the Renewables business, which have been segregated from the Company's continuing operations and are reported as assets and liabilities of discontinued operations held for sale, respectively, in the consolidated balance sheets at (in thousands):</w:t>
      </w:r>
    </w:p>
    <w:tbl>
      <w:tblPr>
        <w:tblW w:w="7727" w:type="dxa"/>
        <w:jc w:val="left"/>
        <w:tblInd w:w="0" w:type="dxa"/>
        <w:tblLayout w:type="fixed"/>
        <w:tblCellMar>
          <w:top w:w="28" w:type="dxa"/>
          <w:left w:w="28" w:type="dxa"/>
          <w:bottom w:w="28" w:type="dxa"/>
          <w:right w:w="28" w:type="dxa"/>
        </w:tblCellMar>
      </w:tblPr>
      <w:tblGrid>
        <w:gridCol w:w="1783"/>
        <w:gridCol w:w="1564"/>
        <w:gridCol w:w="1573"/>
        <w:gridCol w:w="211"/>
        <w:gridCol w:w="751"/>
        <w:gridCol w:w="109"/>
        <w:gridCol w:w="109"/>
        <w:gridCol w:w="109"/>
        <w:gridCol w:w="109"/>
        <w:gridCol w:w="243"/>
        <w:gridCol w:w="989"/>
        <w:gridCol w:w="177"/>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 of the discontinued operations: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 excess of billings,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remeasurement adjustments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classified as discontinued operations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of the discontinued operations: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in excess of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classified as discontinued operations (1)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93,120 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(1) Total held for sale assets and liabilities of the discontinued operations are classified as current on the June 30, 2026 and December 31, 2025 consolidated balance sheets as the Company remained committed to the sale plan and continued to meet the criteria for discontinued operations. The sale was completed subsequent to June 30, 2026 as described in Note 14 "Subsequent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is the components of the loss before taxes from discontinued operations before tax (in thousands):</w:t>
      </w:r>
    </w:p>
    <w:tbl>
      <w:tblPr>
        <w:tblW w:w="9720" w:type="dxa"/>
        <w:jc w:val="left"/>
        <w:tblInd w:w="0" w:type="dxa"/>
        <w:tblLayout w:type="fixed"/>
        <w:tblCellMar>
          <w:top w:w="28" w:type="dxa"/>
          <w:left w:w="28" w:type="dxa"/>
          <w:bottom w:w="28" w:type="dxa"/>
          <w:right w:w="28" w:type="dxa"/>
        </w:tblCellMar>
      </w:tblPr>
      <w:tblGrid>
        <w:gridCol w:w="1533"/>
        <w:gridCol w:w="1347"/>
        <w:gridCol w:w="1365"/>
        <w:gridCol w:w="211"/>
        <w:gridCol w:w="81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expenses (income),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 from discontinued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April 2026, the Company entered into a settlement agreement to resolve certain disputed warranty claims related to the discontinued operation. The settlement amount of $25.0 million had been accrued as of March 31, 2026, included in accrued expenses of discontinued operations, and was recognized as a charge included in loss before taxes from discontinued operations in the consolidated statements of operations for the three months ended March 31, 2026. Accordingly, the charge is also reflected in loss before taxes from discontinued operations in the consolidated statements of operations for the six months ended June 30, 2026. The settlement was paid during the second quarter of 2026.</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Disposition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February 20, 2026, the Company sold certain assets within its Renewables business pertaining to its electrical balance of systems products. The sale of these assets generated net proceeds of $74.9 million in cash, subject to working capital and other customary post-closing adjustments, and resulted in a pre-tax net gain of $20.6 million presented within loss before taxes from discontinued operations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2"/>
        </w:rPr>
      </w:pPr>
      <w:r>
        <w:rPr>
          <w:rFonts w:ascii="Arial;sans-serif" w:hAnsi="Arial;sans-serif"/>
          <w:b/>
          <w:color w:val="000000"/>
          <w:sz w:val="22"/>
        </w:rPr>
        <w:t>(14) SUBSEQUENT EVENT</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Disposition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July 15, 2026, the Company sold assets related to its Renewables racking and foundations business for $5.0 million in cash, subject to customary post-closing adjustments. This sale completes the divestiture of the Company’s Renewables business, which was classified as held for sale and reported as discontinued operations in the Company's consolidated financial statements effective June 30, 2025. Refer to Note 13 "Discontinued Operations" for more information on the Renewables business which was classified as held for sale and reported as discontinued operations in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500" w:after="283"/>
        <w:jc w:val="left"/>
        <w:rPr/>
      </w:pPr>
      <w:r>
        <w:rPr>
          <w:rFonts w:ascii="Arial;sans-serif" w:hAnsi="Arial;sans-serif"/>
          <w:b/>
          <w:color w:val="305473"/>
          <w:sz w:val="20"/>
        </w:rPr>
        <w:t xml:space="preserve">Item 2. </w:t>
      </w:r>
      <w:r>
        <w:rPr>
          <w:rFonts w:ascii="Arial;sans-serif" w:hAnsi="Arial;sans-serif"/>
          <w:b/>
          <w:i/>
          <w:color w:val="305473"/>
          <w:sz w:val="20"/>
          <w:u w:val="single"/>
        </w:rPr>
        <w:t>Management’s Discussion and Analysis of Financial Condition and Results of Operations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Certain information set forth herein includes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“anticipates,” “aspires,” “expects,” “estimates,” “seeks,” “projects,” “intends,” “plans,” “may,” “will” or “should” or, in each case, their negative or other variations or comparable terminology. These forward-looking statements include all matters that are not historical facts. They include statements regarding our intentions, beliefs or current expectations concerning, among other things, our results of operations, financial condition, liquidity, prospects, growth, competition, strategies, margins, integration of acquired businesses, the industries in which we operate and the expected impact of evolving laws and regulation. 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disclosures in our most recent Annual Report on Form 10-K. Although we base these forward-looking statements on assumptions that we believe are reasonable when made, we caution you that forward-looking statements are not guarantees of future performance and that our actual results of operations, financial condition, liquidity and the development of the industries in which we operate may differ materially from those made in or suggested by the forward-looking statements contained herein. In addition, even if our results of operations, financial condition, liquidity, and the development of the industries in which we operate are consistent with the forward-looking statements contained in this Quarterly Report on Form 10-Q,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uses certain operating performance measures, specifically consolidated gross margin, operating margin by segment and consolidated operating margin, to manage the Company's businesses, set operational goals, and establish performance targets for incentive compensation for the Company's employees. The Company defines consolidated gross margin as a percentage of total consolidated gross profit to total consolidated net sales. The Company defines operating margin by segment as a percentage of total income from operations by segment to total net sales by segment and consolidated operating margin as a percentage of total consolidated income from operations to total consolidated net sales. The Company believes consolidated gross margin, consolidated operating margin, and operating margin by segment may be useful to investors in evaluating the profitability of the Company's segments and the Company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2"/>
        </w:rPr>
        <w:t>Overview</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is a leading manufacturer and provider of products and services for the residential, agtech, and infrastructure markets, and it operates and reports its results through three reporting segments: Residential, Agtech, and Infrastructure.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serves customers primarily in the U.S. and Canada including home improvement retailers, wholesalers, distributors, contractors, institutional and commercial growers of fruits, vegetables, flowers and other plants.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February 2, 2026, the Company acquired OmniMax, a leading U.S.- and Canada-based manufacturer and provider of residential roofing accessories and rainwater management systems. The acquisition of OmniMax furthers the Company's goal of helping innovate and reshape the markets in which it operates and provide better solutions for its customers and the channels it serves.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of June 30, 2026, the Company's continuing operations operated in 54 facilities, comprised of 48 manufacturing facilities, strategically located across 23 states and Canada, and six offices, including a sourcing office located in China. The Company's operational infrastructure provides the necessary scale to support local, regional, and national customers in each of the Company's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pPr>
      <w:r>
        <w:rPr>
          <w:rFonts w:ascii="Arial;sans-serif" w:hAnsi="Arial;sans-serif"/>
          <w:b/>
          <w:color w:val="305473"/>
          <w:sz w:val="22"/>
        </w:rPr>
        <w:t>Recent Trends</w:t>
      </w:r>
      <w:r>
        <w:rPr>
          <w:color w:val="305473"/>
        </w:rPr>
        <w:t xml:space="preserve"> </w:t>
      </w:r>
    </w:p>
    <w:p>
      <w:pPr>
        <w:pStyle w:val="TextBody"/>
        <w:bidi w:val="0"/>
        <w:spacing w:lineRule="auto" w:line="288" w:before="100" w:after="283"/>
        <w:jc w:val="both"/>
        <w:rPr>
          <w:rFonts w:ascii="Arial;sans-serif" w:hAnsi="Arial;sans-serif"/>
          <w:b/>
          <w:i/>
          <w:color w:val="000000"/>
          <w:sz w:val="20"/>
        </w:rPr>
      </w:pPr>
      <w:r>
        <w:rPr>
          <w:rFonts w:ascii="Arial;sans-serif" w:hAnsi="Arial;sans-serif"/>
          <w:b/>
          <w:i/>
          <w:color w:val="000000"/>
          <w:sz w:val="20"/>
        </w:rPr>
        <w:t>Impacts of Macroeconomic and Geopolitical Conditions on Our Business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 continues to monitor economic and macroeconomic and geopolitical conditions that may adversely affect its business, results of operations, and liquidity.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Economic and macroeconomic factors include changes in interest rates, changes to the residential new housing construction and repair markets in the United States, including consumer sentiment, increases in costs of fuel and raw materials, inflationary pressures, global economic uncertainty, change in foreign currency exchange rates, and evolving trade and tariff policies. Ongoing volatility impacts demand for the Company’s products, input costs and logistics expenses, resulting in variability in operating results.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Geopolitical instability in regions, including the ongoing conflict in the Middle East, have and may continue to increase energy and transportation costs, resulting in increased raw material and production costs. Changes in U.S. trade policy, including modifications to tariffs on certain steel and aluminum related products, may also increase costs or require changes to sourcing practices. The ultimate impact of these conditions remains uncertain and will depend on future developments and the duration and severity of these events.</w:t>
      </w:r>
    </w:p>
    <w:p>
      <w:pPr>
        <w:pStyle w:val="TextBody"/>
        <w:bidi w:val="0"/>
        <w:spacing w:lineRule="auto" w:line="288" w:before="200" w:after="283"/>
        <w:jc w:val="both"/>
        <w:rPr/>
      </w:pPr>
      <w:r>
        <w:rPr>
          <w:rFonts w:ascii="Arial;sans-serif" w:hAnsi="Arial;sans-serif"/>
          <w:b/>
          <w:color w:val="305473"/>
          <w:sz w:val="22"/>
        </w:rPr>
        <w:t>Business Strategy</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 Company's mission, to make life better for people and the planet, is fueled by advancing the disciplines of engineering, science, and technology.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strives to create compounding and sustainable value for its stockholders and stakeholders by maintaining strong, relevant leadership positions in higher-growth profitable end markets while continuously innovating its products, services, and business processes to further optimize the important end markets it serves in the U.S. and Canada; residential and light commercial housing, infrastructure, and controlled environment agriculture growing and research. The foundation of the Company's strategy is built on three core pillars: Business System, Portfolio Management, and Organization Development.</w:t>
      </w:r>
    </w:p>
    <w:p>
      <w:pPr>
        <w:pStyle w:val="TextBody"/>
        <w:bidi w:val="0"/>
        <w:spacing w:lineRule="auto" w:line="288" w:before="200" w:after="283"/>
        <w:ind w:left="0" w:right="0" w:hanging="360"/>
        <w:jc w:val="both"/>
        <w:rPr/>
      </w:pPr>
      <w:r>
        <w:rPr>
          <w:color w:val="000000"/>
        </w:rPr>
        <w:t>•</w:t>
      </w:r>
      <w:r>
        <w:rPr>
          <w:rFonts w:ascii="Arial;sans-serif" w:hAnsi="Arial;sans-serif"/>
          <w:b/>
          <w:color w:val="000000"/>
          <w:sz w:val="20"/>
        </w:rPr>
        <w:t>Business System</w:t>
      </w:r>
      <w:r>
        <w:rPr>
          <w:color w:val="000000"/>
        </w:rPr>
        <w:t xml:space="preserve"> </w:t>
      </w:r>
      <w:r>
        <w:rPr>
          <w:rFonts w:ascii="Arial;sans-serif" w:hAnsi="Arial;sans-serif"/>
          <w:b w:val="false"/>
          <w:color w:val="000000"/>
          <w:sz w:val="20"/>
        </w:rPr>
        <w:t>reflects the necessary systems, processes, and management tools required to deliver consistent and continuous performance improvement, every day. The Company's business system is a critical enabler to grow, scale, and deliver its plans. The Company's focus is on deploying effective tools to drive growth, improve operating performance, and develop the organization utilizing 80/20 and lean quote-to-cash initiatives along with digital systems for speed, agility and responsiveness. The Business System pillar challenges existing operating paradigms, drives day-to-day performance, forces prioritization of resources, tests the Company's business models, and drives new product and services innovation.</w:t>
      </w:r>
    </w:p>
    <w:p>
      <w:pPr>
        <w:pStyle w:val="TextBody"/>
        <w:bidi w:val="0"/>
        <w:spacing w:lineRule="auto" w:line="288" w:before="200" w:after="283"/>
        <w:ind w:left="0" w:right="0" w:hanging="360"/>
        <w:jc w:val="both"/>
        <w:rPr/>
      </w:pPr>
      <w:r>
        <w:rPr>
          <w:color w:val="000000"/>
        </w:rPr>
        <w:t>•</w:t>
      </w:r>
      <w:r>
        <w:rPr>
          <w:rFonts w:ascii="Arial;sans-serif" w:hAnsi="Arial;sans-serif"/>
          <w:b/>
          <w:color w:val="000000"/>
          <w:sz w:val="20"/>
        </w:rPr>
        <w:t xml:space="preserve">Portfolio Management </w:t>
      </w:r>
      <w:r>
        <w:rPr>
          <w:rFonts w:ascii="Arial;sans-serif" w:hAnsi="Arial;sans-serif"/>
          <w:b w:val="false"/>
          <w:color w:val="000000"/>
          <w:sz w:val="20"/>
        </w:rPr>
        <w:t xml:space="preserve">is focused on optimizing the Company’s business portfolio in higher growth markets with leadership positions while ensuring its financial capital and human resources are effectively and efficiently deployed to deliver sustainable, profitable growth while increasing its relevance with customers and shaping its markets. </w:t>
      </w:r>
    </w:p>
    <w:p>
      <w:pPr>
        <w:pStyle w:val="TextBody"/>
        <w:bidi w:val="0"/>
        <w:spacing w:lineRule="auto" w:line="288" w:before="200" w:after="283"/>
        <w:ind w:left="0" w:right="0" w:hanging="360"/>
        <w:jc w:val="both"/>
        <w:rPr/>
      </w:pPr>
      <w:r>
        <w:rPr>
          <w:color w:val="000000"/>
        </w:rPr>
        <w:t>•</w:t>
      </w:r>
      <w:r>
        <w:rPr>
          <w:rFonts w:ascii="Arial;sans-serif" w:hAnsi="Arial;sans-serif"/>
          <w:b/>
          <w:color w:val="000000"/>
          <w:sz w:val="20"/>
        </w:rPr>
        <w:t xml:space="preserve">Organization Development </w:t>
      </w:r>
      <w:r>
        <w:rPr>
          <w:rFonts w:ascii="Arial;sans-serif" w:hAnsi="Arial;sans-serif"/>
          <w:b w:val="false"/>
          <w:color w:val="000000"/>
          <w:sz w:val="20"/>
        </w:rPr>
        <w:t>drives the Company’s continuous focus on ensuring it has the right design and structure to scale the organization in order to execute the Company’s plans and meet commitments. The Company's focus is on creating an environment for our people to have the best opportunity for success, continue to develop, grow and learn. At the core of this pillar is the Company’s development process focused on helping employees reach their potential, improve performance, develop career roadmaps, identify ongoing education requirements, and respective succession plans. The Company believes doing so helps it attract and retain the best people to execute its business plans.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continues to transform itself to focus on providing solutions to some of today's most significant challenges—including living in safe and comfortable housing, growing food more sustainably, and improving the infrastructure across the U.S. and Canada.</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Company's strategy is to continue to broaden its presence and product portfolio with the addition of new products, while simultaneously investing in its customer relationships and its go-to-market infrastructure. The acquisition of OmniMax strengthens the Company's presence in its largest and highly profitable residential segment and represents a transformative strategic step intended to rapidly accelerate the Company's building products revenue growth. In addition, the Company's 2025 acquisition, Lane Supply within its Agtech segment, expands the Company's structures business to service complementary markets, such as fuel stations and convenience stores.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color w:val="305473"/>
          <w:sz w:val="22"/>
        </w:rPr>
      </w:pPr>
      <w:r>
        <w:rPr>
          <w:rFonts w:ascii="Arial;sans-serif" w:hAnsi="Arial;sans-serif"/>
          <w:b/>
          <w:color w:val="305473"/>
          <w:sz w:val="22"/>
        </w:rPr>
        <w:t>Acquisition of OmniMax</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On February 2, 2026, Gibraltar completed the acquisition of OmniMax, a leading U.S.- and Canada-based manufacturer and provider of residential roofing accessories and rainwater management systems, for a purchase price of $1.335 billion in cash. The acquisition was pursuant to the terms and conditions of the Securities Purchase Agreement, among the Company, Barnsbury Estate LLC and Arundel Square Garden, LLC, dated November 16,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believes that the addition of OmniMax's complementary brands, product portfolio and geographic footprint accelerates the Company's presence in its largest and most profitable business segment, creates a more optimal operating platform to serve customers and partner with suppliers, and opens new opportunities for growth with new and existing customers across the U.S. and Canada. OmniMax will be reported as part of the Company's Residential segment.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connection with the acquisition of OmniMax, on February 2, 2026, the Company entered into a new credit agreement with Bank of America, N.A., as administrative agent and collateral agent, and other financial institutions from time to time party thereto. The Credit Agreement provides for (i) a senior secured revolving credit facility in an initial aggregate principal amount of up to $500 million, (ii) a senior secured term loan A facility in an initial aggregate principal amount of up to $650 million and (iii) a senior secured term loan B facility in an initial aggregate principal amount of up to $650 million. Borrowings under the Credit Agreement were used, together with cash on hand, to fund the acquisition of OmniMax, refinance certain existing indebtedness, and pay related fees and expenses. The Revolving Credit Facility may be used for working capital and other general corporate purposes. The Revolving Credit Facility and Term Loan A Facility mature on February 2, 2031, and the Term Loan B Facility matures on February 2, 2033. In connection with the entry into the Credit Agreement, on February 2, 2026, the Company terminated its existing credit agreement, dated as of December 8, 2022, and repaid all amounts outstanding thereunder.</w:t>
      </w:r>
    </w:p>
    <w:p>
      <w:pPr>
        <w:pStyle w:val="TextBody"/>
        <w:bidi w:val="0"/>
        <w:spacing w:before="200" w:after="283"/>
        <w:jc w:val="both"/>
        <w:rPr/>
      </w:pPr>
      <w:r>
        <w:rPr/>
      </w:r>
    </w:p>
    <w:p>
      <w:pPr>
        <w:pStyle w:val="TextBody"/>
        <w:bidi w:val="0"/>
        <w:spacing w:lineRule="auto" w:line="288" w:before="0" w:after="0"/>
        <w:jc w:val="both"/>
        <w:rPr>
          <w:rFonts w:ascii="Arial;sans-serif" w:hAnsi="Arial;sans-serif"/>
          <w:b/>
          <w:color w:val="305473"/>
          <w:sz w:val="22"/>
        </w:rPr>
      </w:pPr>
      <w:r>
        <w:rPr>
          <w:rFonts w:ascii="Arial;sans-serif" w:hAnsi="Arial;sans-serif"/>
          <w:b/>
          <w:color w:val="305473"/>
          <w:sz w:val="22"/>
        </w:rPr>
        <w:t>Discontinued Operations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During 2026, the Company completed the divestiture of its Renewables business through two separate asset sales. On February 20, 2026, the Company sold certain assets related to its electrical balance of systems product for net cash proceeds of approximately $75 million, subject to working capital and other customary post-closing adjustments. The proceeds were applied toward debt reduction. On July 15, 2026, the Company sold the remaining Renewables business assets related to its racking and foundations operations for $5 million in cash, subject to customary post-closing adjustments, completing the divestiture of the Renewables business.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Company's Renewables business was classified as held for sale and reported as discontinued operations in the Company's financial statements as of June 30, 2025, driven by a decision to change the Company's strategy to focus its asset portfolio and resources on its Residential, Agtech and Infrastructure segments. Subsequent to classification as held for sale and as discontinued operations, the Company recognized a combined impairment loss and remeasurement adjustment in aggregate of approximately $243 million before income taxes. Unless otherwise indicated, all results and information presented exclude discontinued operations disclosures. See Note 13 to the Company's consolidated financial statements in Part I, Item 1 of this Quarterly Report on Form 10-Q for further information on discontinued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305473"/>
          <w:sz w:val="22"/>
        </w:rPr>
      </w:pPr>
      <w:r>
        <w:rPr>
          <w:rFonts w:ascii="Arial;sans-serif" w:hAnsi="Arial;sans-serif"/>
          <w:b/>
          <w:color w:val="305473"/>
          <w:sz w:val="22"/>
        </w:rPr>
        <w:t>Results of Operations</w:t>
      </w:r>
    </w:p>
    <w:p>
      <w:pPr>
        <w:pStyle w:val="TextBody"/>
        <w:bidi w:val="0"/>
        <w:spacing w:lineRule="auto" w:line="288" w:before="200" w:after="283"/>
        <w:jc w:val="left"/>
        <w:rPr>
          <w:rFonts w:ascii="Arial;sans-serif" w:hAnsi="Arial;sans-serif"/>
          <w:b/>
          <w:i/>
          <w:color w:val="305473"/>
          <w:sz w:val="20"/>
        </w:rPr>
      </w:pPr>
      <w:r>
        <w:rPr>
          <w:rFonts w:ascii="Arial;sans-serif" w:hAnsi="Arial;sans-serif"/>
          <w:b/>
          <w:i/>
          <w:color w:val="305473"/>
          <w:sz w:val="20"/>
        </w:rPr>
        <w:t xml:space="preserve">Three Months Ended June 30, 2026 Compared to the Three Months Ended June 30, 2025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sets forth selected results of operations data and percentage of net sales for the three months ended June 30 (in thousands):</w:t>
      </w:r>
    </w:p>
    <w:tbl>
      <w:tblPr>
        <w:tblW w:w="9201" w:type="dxa"/>
        <w:jc w:val="left"/>
        <w:tblInd w:w="0" w:type="dxa"/>
        <w:tblLayout w:type="fixed"/>
        <w:tblCellMar>
          <w:top w:w="28" w:type="dxa"/>
          <w:left w:w="28" w:type="dxa"/>
          <w:bottom w:w="28" w:type="dxa"/>
          <w:right w:w="28" w:type="dxa"/>
        </w:tblCellMar>
      </w:tblPr>
      <w:tblGrid>
        <w:gridCol w:w="1617"/>
        <w:gridCol w:w="1165"/>
        <w:gridCol w:w="1177"/>
        <w:gridCol w:w="211"/>
        <w:gridCol w:w="856"/>
        <w:gridCol w:w="109"/>
        <w:gridCol w:w="109"/>
        <w:gridCol w:w="109"/>
        <w:gridCol w:w="109"/>
        <w:gridCol w:w="323"/>
        <w:gridCol w:w="323"/>
        <w:gridCol w:w="286"/>
        <w:gridCol w:w="109"/>
        <w:gridCol w:w="109"/>
        <w:gridCol w:w="109"/>
        <w:gridCol w:w="211"/>
        <w:gridCol w:w="856"/>
        <w:gridCol w:w="109"/>
        <w:gridCol w:w="109"/>
        <w:gridCol w:w="109"/>
        <w:gridCol w:w="109"/>
        <w:gridCol w:w="323"/>
        <w:gridCol w:w="323"/>
        <w:gridCol w:w="331"/>
      </w:tblGrid>
      <w:tr>
        <w:trPr/>
        <w:tc>
          <w:tcPr>
            <w:tcW w:w="161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Interest expense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expense (income)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net sales by reportable segment for the three months ended June 30, (in thousands):</w:t>
      </w:r>
    </w:p>
    <w:tbl>
      <w:tblPr>
        <w:tblW w:w="9351" w:type="dxa"/>
        <w:jc w:val="left"/>
        <w:tblInd w:w="0" w:type="dxa"/>
        <w:tblLayout w:type="fixed"/>
        <w:tblCellMar>
          <w:top w:w="28" w:type="dxa"/>
          <w:left w:w="28" w:type="dxa"/>
          <w:bottom w:w="28" w:type="dxa"/>
          <w:right w:w="28" w:type="dxa"/>
        </w:tblCellMar>
      </w:tblPr>
      <w:tblGrid>
        <w:gridCol w:w="461"/>
        <w:gridCol w:w="404"/>
        <w:gridCol w:w="41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109"/>
        <w:gridCol w:w="109"/>
        <w:gridCol w:w="349"/>
        <w:gridCol w:w="1242"/>
        <w:gridCol w:w="254"/>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Impact of </w:t>
            </w:r>
          </w:p>
        </w:tc>
        <w:tc>
          <w:tcPr>
            <w:tcW w:w="1954" w:type="dxa"/>
            <w:gridSpan w:val="4"/>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Ongoing Operations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color w:val="000000"/>
          <w:sz w:val="20"/>
        </w:rPr>
        <w:t>Consolidated net sales increased by $200.0 million, or 64.6%, to $509.5 million</w:t>
      </w:r>
      <w:r>
        <w:rPr>
          <w:color w:val="000000"/>
        </w:rPr>
        <w:t xml:space="preserve"> </w:t>
      </w:r>
      <w:r>
        <w:rPr>
          <w:rFonts w:ascii="Arial;sans-serif" w:hAnsi="Arial;sans-serif"/>
          <w:b w:val="false"/>
          <w:color w:val="000000"/>
          <w:sz w:val="20"/>
        </w:rPr>
        <w:t xml:space="preserve">for the three months ended June 30, 2026 compared to the three months ended June 30, 2025. The increase was driven by sales generated from acquisitions of $184.5 million, primarily the result of the OmniMax acquisition in the prior quarter of 2026. Organic growth of 5%, the result of price increases to align with rising commodity costs, also contributed to the increase in net sales. </w:t>
      </w:r>
    </w:p>
    <w:p>
      <w:pPr>
        <w:pStyle w:val="TextBody"/>
        <w:bidi w:val="0"/>
        <w:spacing w:lineRule="auto" w:line="288" w:before="200" w:after="283"/>
        <w:jc w:val="both"/>
        <w:rPr/>
      </w:pPr>
      <w:r>
        <w:rPr>
          <w:rFonts w:ascii="Arial;sans-serif" w:hAnsi="Arial;sans-serif"/>
          <w:b w:val="false"/>
          <w:color w:val="000000"/>
          <w:sz w:val="20"/>
        </w:rPr>
        <w:t>Net sales in the Company's Residential segment increased $195.6 million, or 84.9%, to $425.9 million for the three months ended June 30, 2026 compared to $230.3 million for the three months ended June 30, 2025. The higher net sales was driven by acquisitions of $184.5 million, primarily</w:t>
      </w:r>
      <w:r>
        <w:rPr>
          <w:color w:val="000000"/>
        </w:rPr>
        <w:t xml:space="preserve"> </w:t>
      </w:r>
      <w:r>
        <w:rPr>
          <w:rFonts w:ascii="Arial;sans-serif" w:hAnsi="Arial;sans-serif"/>
          <w:b w:val="false"/>
          <w:color w:val="000000"/>
          <w:sz w:val="20"/>
        </w:rPr>
        <w:t>generated from the current year acquisition of OmniMax. Organic net sales increased 5%, the result of timing of price/cost adjustments.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sales in the Company's Agtech segment increased 8.7%, or $4.7 million, to $58.8 million for the three months ended June 30, 2026 compared to $54.1 million for the three months ended June 30, 2025. The net sales increase was due to growth in both the commercial and structures businesses. Backlog decreased 34% year over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sales in the Company's Infrastructure segment decreased $0.3 million, or 1.2%, to $24.9 million for the three months ended June 30, 2026 compared to $25.2 million for the three months ended June 30, 2025, impacted by timing of projects. Backlog increased 2% from the prior year, as demand and quoting activity remained strong.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Company's consolidated gross margin decreased to 25.9% for the three months ended June 30, 2026 compared to 28.4% for the three months ended June 30, 2025. The decrease was driven by business and product line mix, unfavorable alignment of price/material cost, and the impact of ongoing integration activities, partially offset by overall continued operational efficiencies along with 80/20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pPr>
      <w:r>
        <w:rPr>
          <w:rFonts w:ascii="Arial;sans-serif" w:hAnsi="Arial;sans-serif"/>
          <w:b w:val="false"/>
          <w:color w:val="000000"/>
          <w:sz w:val="20"/>
        </w:rPr>
        <w:t>Selling, general, and administrative ("SG&amp;A") expense increased by $23.9 million, or 49.5% to $72.3 million for the three months ended June 30, 2026 compared to $48.3 million for the three months ended June 30, 2025. The $23.9 million increase was primarily due to incremental SG&amp;A expense incurred in connection with recent acquisitions along with higher acquisition-related expense as compared to the prior year quarter. SG&amp;A expense as a percentage of net sales decreased to 14.2%</w:t>
      </w:r>
      <w:r>
        <w:rPr>
          <w:color w:val="000000"/>
        </w:rPr>
        <w:t xml:space="preserve"> </w:t>
      </w:r>
      <w:r>
        <w:rPr>
          <w:rFonts w:ascii="Arial;sans-serif" w:hAnsi="Arial;sans-serif"/>
          <w:b w:val="false"/>
          <w:color w:val="000000"/>
          <w:sz w:val="20"/>
        </w:rPr>
        <w:t>for the three months ended June 30, 2026 compared to 15.6% for the</w:t>
      </w:r>
      <w:r>
        <w:rPr>
          <w:color w:val="000000"/>
        </w:rPr>
        <w:t xml:space="preserve"> </w:t>
      </w:r>
      <w:r>
        <w:rPr>
          <w:rFonts w:ascii="Arial;sans-serif" w:hAnsi="Arial;sans-serif"/>
          <w:b w:val="false"/>
          <w:color w:val="000000"/>
          <w:sz w:val="20"/>
        </w:rPr>
        <w:t xml:space="preserve">three months ended June 30, 2025.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operating income and operating income as a percentage of net sales by reportable segment for the three months ended June 30, (in thousands):</w:t>
      </w:r>
    </w:p>
    <w:tbl>
      <w:tblPr>
        <w:tblW w:w="10061" w:type="dxa"/>
        <w:jc w:val="left"/>
        <w:tblInd w:w="0" w:type="dxa"/>
        <w:tblLayout w:type="fixed"/>
        <w:tblCellMar>
          <w:top w:w="28" w:type="dxa"/>
          <w:left w:w="28" w:type="dxa"/>
          <w:bottom w:w="28" w:type="dxa"/>
          <w:right w:w="28" w:type="dxa"/>
        </w:tblCellMar>
      </w:tblPr>
      <w:tblGrid>
        <w:gridCol w:w="1075"/>
        <w:gridCol w:w="945"/>
        <w:gridCol w:w="949"/>
        <w:gridCol w:w="211"/>
        <w:gridCol w:w="751"/>
        <w:gridCol w:w="109"/>
        <w:gridCol w:w="109"/>
        <w:gridCol w:w="109"/>
        <w:gridCol w:w="109"/>
        <w:gridCol w:w="270"/>
        <w:gridCol w:w="271"/>
        <w:gridCol w:w="286"/>
        <w:gridCol w:w="109"/>
        <w:gridCol w:w="109"/>
        <w:gridCol w:w="109"/>
        <w:gridCol w:w="211"/>
        <w:gridCol w:w="751"/>
        <w:gridCol w:w="109"/>
        <w:gridCol w:w="109"/>
        <w:gridCol w:w="109"/>
        <w:gridCol w:w="109"/>
        <w:gridCol w:w="270"/>
        <w:gridCol w:w="271"/>
        <w:gridCol w:w="286"/>
        <w:gridCol w:w="109"/>
        <w:gridCol w:w="109"/>
        <w:gridCol w:w="109"/>
        <w:gridCol w:w="211"/>
        <w:gridCol w:w="751"/>
        <w:gridCol w:w="109"/>
        <w:gridCol w:w="109"/>
        <w:gridCol w:w="109"/>
        <w:gridCol w:w="109"/>
        <w:gridCol w:w="109"/>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Infrastructure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Residential segment generated an operating margin of 14.2% in the current year quarter compared to 18.9% in the prior year quarter. Operating margin declined year over year, primarily as a result of price/cost alignment, early stage production inefficiencies and the timing of productivity and integration actions and acquisition charges, along with business and product mix during the current year quarter.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Agtech segment generated an operating margin of 10.0% in the current year quarter compared to (0.9)% in the prior year quarter. Operating margin increased year over year due to higher volumes, along with prior year costs related to the acquisition of Lane Supply in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Infrastructure segment generated an operating margin of 23.5% during the three months ended June 30, 2026 compared to 28.1% during the three months ended June 30, 2025. The margin decline year over year was the result of business mix and lower volume.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Unallocated corporate expenses increased $1.7 million to $12.4 million during the three months ended June 30, 2026 from $10.7 million during the three months ended June 30, 2025. The increase was primarily the result of higher acquisition-related expense as compared to the prior year quarter.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Interest expense increased year over year with $21.0 million for the three months ended June 30, 2026 compared to $0.4 million for the three months ended June 30, 2025. The increase in expense was primarily due to the new issuance of debt to fund the acquisition of OmniMax earlier in the year.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recorded other expense of $0.9 million for the three months ended June 30, 2026, compared to other income of $0.1 million for the three months ended June 30, 2025.</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 recognized a provision for income taxes of $10.6 million, with an effective tax rate of 28.0% for the three months ended June 30, 2026. The effective tax rate for the three months ended June 30, 2026 was greater than the U.S. federal statutory rate of 21% due to state taxes and nondeductible permanent differences partially offset by benefits related to tax credit generation or utilization. The Company recognized a provision for income taxes of $9.8 million, with an effective tax rate of 25.0% for the three months ended June 30, 2025. The effective tax rate for the three months ended June 30, 2025 was greater than the U.S. federal statutory rate of 21% due to state taxes and nondeductible permanent differences partially offset by benefits related to tax credit generation or utilization and favorable discrete items due to an excess tax benefit on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i/>
          <w:color w:val="305473"/>
          <w:sz w:val="20"/>
        </w:rPr>
      </w:pPr>
      <w:r>
        <w:rPr>
          <w:rFonts w:ascii="Arial;sans-serif" w:hAnsi="Arial;sans-serif"/>
          <w:b/>
          <w:i/>
          <w:color w:val="305473"/>
          <w:sz w:val="20"/>
        </w:rPr>
        <w:t xml:space="preserve">Six Months Ended June 30, 2026 Compared to the Six Months Ended June 30, 2025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following table sets forth selected results of operations data and percentage of net sales for the six months ended June 30 (in thousands):</w:t>
      </w:r>
    </w:p>
    <w:tbl>
      <w:tblPr>
        <w:tblW w:w="9201" w:type="dxa"/>
        <w:jc w:val="left"/>
        <w:tblInd w:w="0" w:type="dxa"/>
        <w:tblLayout w:type="fixed"/>
        <w:tblCellMar>
          <w:top w:w="28" w:type="dxa"/>
          <w:left w:w="28" w:type="dxa"/>
          <w:bottom w:w="28" w:type="dxa"/>
          <w:right w:w="28" w:type="dxa"/>
        </w:tblCellMar>
      </w:tblPr>
      <w:tblGrid>
        <w:gridCol w:w="1617"/>
        <w:gridCol w:w="1165"/>
        <w:gridCol w:w="1177"/>
        <w:gridCol w:w="211"/>
        <w:gridCol w:w="856"/>
        <w:gridCol w:w="109"/>
        <w:gridCol w:w="109"/>
        <w:gridCol w:w="109"/>
        <w:gridCol w:w="109"/>
        <w:gridCol w:w="323"/>
        <w:gridCol w:w="323"/>
        <w:gridCol w:w="286"/>
        <w:gridCol w:w="109"/>
        <w:gridCol w:w="109"/>
        <w:gridCol w:w="109"/>
        <w:gridCol w:w="211"/>
        <w:gridCol w:w="856"/>
        <w:gridCol w:w="109"/>
        <w:gridCol w:w="109"/>
        <w:gridCol w:w="109"/>
        <w:gridCol w:w="109"/>
        <w:gridCol w:w="323"/>
        <w:gridCol w:w="323"/>
        <w:gridCol w:w="331"/>
      </w:tblGrid>
      <w:tr>
        <w:trPr/>
        <w:tc>
          <w:tcPr>
            <w:tcW w:w="161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expense (income)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continuing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(loss)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net sales by reportable segment for the six months ended June 30, (in thousands):</w:t>
      </w:r>
    </w:p>
    <w:tbl>
      <w:tblPr>
        <w:tblW w:w="9351" w:type="dxa"/>
        <w:jc w:val="left"/>
        <w:tblInd w:w="0" w:type="dxa"/>
        <w:tblLayout w:type="fixed"/>
        <w:tblCellMar>
          <w:top w:w="28" w:type="dxa"/>
          <w:left w:w="28" w:type="dxa"/>
          <w:bottom w:w="28" w:type="dxa"/>
          <w:right w:w="28" w:type="dxa"/>
        </w:tblCellMar>
      </w:tblPr>
      <w:tblGrid>
        <w:gridCol w:w="461"/>
        <w:gridCol w:w="404"/>
        <w:gridCol w:w="41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109"/>
        <w:gridCol w:w="109"/>
        <w:gridCol w:w="384"/>
        <w:gridCol w:w="1179"/>
        <w:gridCol w:w="282"/>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Impact of </w:t>
            </w:r>
          </w:p>
        </w:tc>
        <w:tc>
          <w:tcPr>
            <w:tcW w:w="1954" w:type="dxa"/>
            <w:gridSpan w:val="4"/>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Ongoing Operations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Infrastructure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6,339 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Arial;sans-serif" w:hAnsi="Arial;sans-serif"/>
          <w:b w:val="false"/>
          <w:color w:val="000000"/>
          <w:sz w:val="20"/>
        </w:rPr>
        <w:t>Consolidated net sales increased by $310.0 million, or 55.8%, to $865.8 million</w:t>
      </w:r>
      <w:r>
        <w:rPr>
          <w:color w:val="000000"/>
        </w:rPr>
        <w:t xml:space="preserve"> </w:t>
      </w:r>
      <w:r>
        <w:rPr>
          <w:rFonts w:ascii="Arial;sans-serif" w:hAnsi="Arial;sans-serif"/>
          <w:b w:val="false"/>
          <w:color w:val="000000"/>
          <w:sz w:val="20"/>
        </w:rPr>
        <w:t xml:space="preserve">for the six months ended June 30, 2026 compared to the six months ended June 30, 2025. The increase was driven by sales generated from acquisitions of $303.6 million, primarily the result of the Company's current year acquisition of OmniMax along with incremental sales generated from the Company's prior year acquisitions. Organic growth of 1%, the result of price increases to align with rising commodity costs, also contributed to the increase in net sales.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Net sales in the Company's Residential segment increased $297.0 million, or 72.4%, to $707.3 million for the six months ended June 30, 2026 compared to $410.3 million for the six months ended June 30, 2025. The higher net sales was driven by acquisitions of $291.8 million primarily generated from the current year acquisition of OmniMax, along with incremental sales generated by the prior year acquisitions of the three metal roofing manufacturers. Organic net sales increased 1%, the result of timing of price/cost adjustments.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sales in the Company's Agtech segment increased 15.4%, or $15.3 million, to $114.5 million for the six months ended June 30, 2026 compared to $99.1 million for the six months ended June 30, 2025. The revenue increase was largely due to $11.8 million of incremental sales generated from the prior year acquisition of Lane Supply, along with an increase in organic sales, due to timing of projects. Backlog decreased 34% year over year in this segment.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sales in the Company's Infrastructure segment decreased $2.4 million, or 5.2%, to $44.1 million for the six months ended June 30, 2026 compared to $46.5 million for the six months ended June 30, 2025, impacted by timing of projects. Backlog increased 2% from the prior year, as demand and quoting activity remained strong.</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Company's consolidated gross margin decreased to 24.4% for the six months ended June 30, 2026 compared to 28.4% for the six months ended June 30, 2025. The decrease was driven by business and product line mix, unfavorable alignment of price/material cost, amortization of fair market value adjustments from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combinations and the impact of ongoing integration activities, partially offset by overall continued operational efficiencies along with 80/20 initiatives.</w:t>
      </w:r>
    </w:p>
    <w:p>
      <w:pPr>
        <w:pStyle w:val="TextBody"/>
        <w:bidi w:val="0"/>
        <w:spacing w:lineRule="auto" w:line="288" w:before="200" w:after="283"/>
        <w:jc w:val="both"/>
        <w:rPr/>
      </w:pPr>
      <w:r>
        <w:rPr>
          <w:rFonts w:ascii="Arial;sans-serif" w:hAnsi="Arial;sans-serif"/>
          <w:b w:val="false"/>
          <w:color w:val="000000"/>
          <w:sz w:val="20"/>
        </w:rPr>
        <w:t>Selling, general, and administrative ("SG&amp;A") expense increased by $66.1 million, or 73.8% to $155.6 million for the six months ended June 30, 2026 compared to $89.5 million for the six months ended June 30, 2025. The $66.1 million increase was primarily due to incremental SG&amp;A expense incurred in connection with recent acquisitions, along with higher acquisition-related expense as compared to the prior year. SG&amp;A expense as a percentage of net sales increased to 18.0%</w:t>
      </w:r>
      <w:r>
        <w:rPr>
          <w:color w:val="000000"/>
        </w:rPr>
        <w:t xml:space="preserve"> </w:t>
      </w:r>
      <w:r>
        <w:rPr>
          <w:rFonts w:ascii="Arial;sans-serif" w:hAnsi="Arial;sans-serif"/>
          <w:b w:val="false"/>
          <w:color w:val="000000"/>
          <w:sz w:val="20"/>
        </w:rPr>
        <w:t>for the six months ended June 30, 2026 compared to 16.1% for the</w:t>
      </w:r>
      <w:r>
        <w:rPr>
          <w:color w:val="000000"/>
        </w:rPr>
        <w:t xml:space="preserve"> </w:t>
      </w:r>
      <w:r>
        <w:rPr>
          <w:rFonts w:ascii="Arial;sans-serif" w:hAnsi="Arial;sans-serif"/>
          <w:b w:val="false"/>
          <w:color w:val="000000"/>
          <w:sz w:val="20"/>
        </w:rPr>
        <w:t xml:space="preserve">six months ended June 30, 2025.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operating income and operating income as a percentage of net sales by reportable segment for the six months ended June 30, (in thousands):</w:t>
      </w:r>
    </w:p>
    <w:tbl>
      <w:tblPr>
        <w:tblW w:w="10121" w:type="dxa"/>
        <w:jc w:val="left"/>
        <w:tblInd w:w="0" w:type="dxa"/>
        <w:tblLayout w:type="fixed"/>
        <w:tblCellMar>
          <w:top w:w="28" w:type="dxa"/>
          <w:left w:w="28" w:type="dxa"/>
          <w:bottom w:w="28" w:type="dxa"/>
          <w:right w:w="28" w:type="dxa"/>
        </w:tblCellMar>
      </w:tblPr>
      <w:tblGrid>
        <w:gridCol w:w="1075"/>
        <w:gridCol w:w="945"/>
        <w:gridCol w:w="949"/>
        <w:gridCol w:w="211"/>
        <w:gridCol w:w="751"/>
        <w:gridCol w:w="109"/>
        <w:gridCol w:w="109"/>
        <w:gridCol w:w="109"/>
        <w:gridCol w:w="109"/>
        <w:gridCol w:w="270"/>
        <w:gridCol w:w="271"/>
        <w:gridCol w:w="286"/>
        <w:gridCol w:w="109"/>
        <w:gridCol w:w="109"/>
        <w:gridCol w:w="109"/>
        <w:gridCol w:w="211"/>
        <w:gridCol w:w="751"/>
        <w:gridCol w:w="109"/>
        <w:gridCol w:w="109"/>
        <w:gridCol w:w="109"/>
        <w:gridCol w:w="109"/>
        <w:gridCol w:w="270"/>
        <w:gridCol w:w="271"/>
        <w:gridCol w:w="286"/>
        <w:gridCol w:w="109"/>
        <w:gridCol w:w="109"/>
        <w:gridCol w:w="109"/>
        <w:gridCol w:w="211"/>
        <w:gridCol w:w="811"/>
        <w:gridCol w:w="109"/>
        <w:gridCol w:w="109"/>
        <w:gridCol w:w="109"/>
        <w:gridCol w:w="109"/>
        <w:gridCol w:w="109"/>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b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Agtech</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Infrastructure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Residential segment generated an operating margin of 11.4% in the current year compared to 18.3% in the prior year. Operating margin declined year over year, primarily as a result of price/cost alignment, early stage production inefficiencies and the timing of productivity and integration actions and acquisition charges, along with business and product mix during the current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Agtech segment generated an operating margin of 8.1% in the current year compared to 2.9% in the prior year. Operating margin increased year over year due to higher organic volumes, along with prior year costs related to the acquisition of Lane Supply.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Infrastructure segment generated an operating margin of 21.7% during the six months ended June 30, 2026 compared to 26.5% during the six months ended June 30, 2025. The margin decline year over year was the result of business mix and lower volume.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Unallocated corporate expenses increased $22.2 million to $44.2 million during the six months ended June 30, 2026 from $21.9 million during the six months ended June 30, 2025. The increase was primarily the result of higher acquisition-related expense as compared to the prior year.</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recorded interest expense of $34.0 million during the six months ended June 30, 2026 associated with the new issuance of debt to fund the acquisition of OmniMax. The Company recorded interest income of $1.3 million for the six months ended June 30, 2025, the result of earnings on certain interest-bearing cash accounts.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 recognized a provision for income taxes of $6.0 million, with an effective tax rate of 28.2% for the six months ended June 30, 2026. The effective tax rate for the six months ended June 30, 2026 was greater than the U.S. federal statutory rate of 21% due to state taxes and nondeductible permanent differences partially offset by benefits related to tax credit generation or utilization. The Company recognized a provision for income taxes of $16.9 million, with an effective tax rate of 24.4% for the six months ended June 30, 2025. The effective tax rate for the six months ended June 30, 2025 was greater than the U.S. federal statutory rate of 21% due to state taxes and nondeductible permanent differences partially offset by benefits related to tax credit generation or utilization and favorable discrete items due to an excess tax benefit on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rFonts w:ascii="Arial;sans-serif" w:hAnsi="Arial;sans-serif"/>
          <w:b/>
          <w:color w:val="305473"/>
          <w:sz w:val="22"/>
        </w:rPr>
      </w:pPr>
      <w:r>
        <w:rPr>
          <w:rFonts w:ascii="Arial;sans-serif" w:hAnsi="Arial;sans-serif"/>
          <w:b/>
          <w:color w:val="305473"/>
          <w:sz w:val="22"/>
        </w:rPr>
        <w:t>Liquidity and Capital Resources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Sources of Liquidity</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has historically financed its working capital requirements, including capital expenditures and acquisitions, through a combination of available cash, cash flows from operations, and borrowings under the Company's 2022 Credit Agreement. As disclosed above, on February 2, 2026, the Company entered into a new Credit Agreement that provides for a senior secured revolving credit facility with an initial aggregate commitment of $500 million and letters of credit in an aggregate amount of up to $100 million. The Revolving Credit Facility under the Credit Agreement matures on February 2, 2031.</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expects that its primary cash requirements over the next twelve months will include working capital, capital expenditures, and debt service requirements. The Company believes that cash flows from operations, together with available cash on hand and borrowing capacity under the Revolving Credit Facility—which had approximately $470.3 million of availability as of June 30, 2026—will be sufficient to meet these short-term liquidity requirements. The Company currently expects to continue generating positive operating cash flows during this period and does not anticipate needing to materially increase borrowings to fund its short-term obligations.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Beyond the next twelve months, the Company's liquidity needs will primarily consist of funding ongoing capital expenditures, debt service requirements, future debt maturities and potential strategic investments. The Company expects to meet these long-term obligations through a combination of cash flows generated from operations and continued access to its Revolving Credit Facility. The Company may also evaluate additional financing alternatives, as appropriate, to support its long-term growth initiatives or refinance upcoming maturities. Based on current projections and market conditions, the Company believes that its existing sources of liquidity will be adequate to satisfy its long-term cash requirements.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Historically the Company's international operations have generated cash flow from operations sufficient to fund their working capital needs and capital improvements. As of June 30, 2026 and December 31, 2025, the Company's international subsidiaries held $5.1 million and $4.4 million of cash, respectively.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disclosed below and in Note 7 to the Company's consolidated financial statements in Part I, Item 1, Financial Statements, of this Quarterly Report on Form 10-Q, the Company incurred significant indebtedness in connection with the acquisition of OmniMax. This level of indebtedness could have important consequences for the Company's business, including the risks described in Item 1A. "Risk Factors" - "Risks Related to the Company's Indebtedness" in the Company's Annual Report on Form 10-K for the year ended December 31, 2025.</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Uses of Cash / Cash Requirements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Company's material short-term cash requirements primarily include accounts payable, purchases of tax credits, certain employee and retiree benefit-related obligations, operating lease obligations, capital expenditures, and other purchase obligations originating in the normal course of business for inventory purchase orders and contractual service agreements.</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Credit Agreement</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To further support liquidity, and in connection with closing of the acquisition of OmniMax on February 2, 2026 (the "Closing Date"), the Company entered into a new Revolving Credit Facility, as described above, and new senior secured term loan facilities in an aggregate principal amount of $1.3 billion, consisting of the Term Loan A facility in an initial aggregate principal amount of $650 million and the Term Loan B facility in an initial aggregate principal amount of $650 million. Proceeds from the term loans, together with borrowings under the revolving credit facility and cash on hand, were used to fund the acquisition of OmniMax and pay related transaction fees and expenses.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Revolving Credit Facility and the Term Loan A Facility will mature on the fifth anniversary of the Closing Date, and the Term Loan B Facility will mature on the seventh anniversary of the Closing Date. The Term Loan A Facility requires quarterly amortization payments of 2.50% per annum for the first two years, 5.00% per annum for the next two years and 7.50% per annum for the final year, in each case of the original principal amount thereof. The Term Loan B Facility requires quarterly amortization payments of 1.00% per annum of the original principal amount thereof. The Credit Agreement also requires mandatory prepayments in connection with certain asset sales and excess cash flow, subject to certain exceptions.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Borrowings under the senior secured credit facilities bear interest, at the Company’s option, at an annual rate equal to (a) adjusted term SOFR, defined in a customary manner or (b) the base rate plus in each case an applicable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For the Term Loan A Facility and the Revolving Credit Facility, the applicable rate under the Credit Agreement ranges from 1.375% to 2.25% for Term SOFR loans and 0.375% to 1.25% for Base Rate loans, in each case based on the Company’s consolidated first lien net leverage ratio. For the Term Loan B Facility, the applicable rate under the Credit Agreement ranges from 1.75% to 2.25% for Term SOFR loans and 0.75% to 1.25% for Base Rate loans, in each case based on the Company’s consolidated first lien net leverage ratio. Undrawn commitment fees under the Revolving Credit Facility range from 0.175% to 0.275% based on the Company’s consolidated net leverage ratio.</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Credit Agreement contains financial covenants requiring the Company to maintain a maximum consolidated total net leverage ratio of 5.25 to 1.00, which steps down to 4.25 to 1.00 over time, and a minimum interest coverage ratio of 3.00 to 1.00, in each case measured as of the last day of each fiscal quarter, with measurement to commence on the last day of the first full fiscal quarter after the Closing Date. The maximum consolidated total net leverage ratio may be increased at the Company’s option by 0.50 times in connection with certain qualifying material acquisitions.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Credit Agreement contains certain affirmative and negative covenants that limit the ability of the Company, among other things and subject to certain significant exceptions, to incur debt or liens, make investments, enter into certain mergers, consolidations, asset sales and acquisitions, pay dividends and make other restricted payments and enter into transactions with affiliates. Additionally, the Credit Agreement contains certain events of default, including relating to a change of control. If an event of default occurs, the lenders under the Credit Agreement will be entitled to take various actions, including the acceleration of amounts due under the Credit Agreement.</w:t>
      </w:r>
    </w:p>
    <w:p>
      <w:pPr>
        <w:pStyle w:val="TextBody"/>
        <w:bidi w:val="0"/>
        <w:spacing w:lineRule="auto" w:line="288" w:before="200" w:after="283"/>
        <w:jc w:val="both"/>
        <w:rPr>
          <w:rFonts w:ascii="Arial;sans-serif" w:hAnsi="Arial;sans-serif"/>
          <w:b w:val="false"/>
          <w:i/>
          <w:color w:val="000000"/>
          <w:sz w:val="20"/>
          <w:u w:val="single"/>
        </w:rPr>
      </w:pPr>
      <w:r>
        <w:rPr>
          <w:rFonts w:ascii="Arial;sans-serif" w:hAnsi="Arial;sans-serif"/>
          <w:b w:val="false"/>
          <w:i/>
          <w:color w:val="000000"/>
          <w:sz w:val="20"/>
          <w:u w:val="single"/>
        </w:rPr>
        <w:t>Authorized Share Repurchase Program</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In April 2025, the Company's Board of Directors authorized a share repurchase program of up to $200 million of the Company's issued and outstanding common stock. As of June 30, 2026, the Company has not purchased any shares under this authorized program.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program has a duration of three years and is scheduled to expire on April 30, 2028. Repurchases may be made from time to time in amounts and at prices the Company deems appropriate, subject to certain restrictions under the Credit Agreement, market conditions, applicable legal requirements, debt covenants, and other considerations. Any such repurchases may be executed through open market purchases, privately negotiated agreements, or other transactions. The repurchase program may be suspended or discontinued at any time at the Company's discretion.</w:t>
      </w:r>
    </w:p>
    <w:p>
      <w:pPr>
        <w:pStyle w:val="TextBody"/>
        <w:bidi w:val="0"/>
        <w:spacing w:lineRule="auto" w:line="288" w:before="200" w:after="283"/>
        <w:jc w:val="left"/>
        <w:rPr>
          <w:rFonts w:ascii="Arial;sans-serif" w:hAnsi="Arial;sans-serif"/>
          <w:b/>
          <w:i/>
          <w:color w:val="305473"/>
          <w:sz w:val="22"/>
        </w:rPr>
      </w:pPr>
      <w:r>
        <w:rPr>
          <w:rFonts w:ascii="Arial;sans-serif" w:hAnsi="Arial;sans-serif"/>
          <w:b/>
          <w:i/>
          <w:color w:val="305473"/>
          <w:sz w:val="22"/>
        </w:rPr>
        <w:t>Cash Flows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following table sets forth selected cash flow data for the six months ended June 30, (in thousands):</w:t>
      </w:r>
    </w:p>
    <w:tbl>
      <w:tblPr>
        <w:tblW w:w="6774" w:type="dxa"/>
        <w:jc w:val="left"/>
        <w:tblInd w:w="0" w:type="dxa"/>
        <w:tblLayout w:type="fixed"/>
        <w:tblCellMar>
          <w:top w:w="28" w:type="dxa"/>
          <w:left w:w="28" w:type="dxa"/>
          <w:bottom w:w="28" w:type="dxa"/>
          <w:right w:w="28" w:type="dxa"/>
        </w:tblCellMar>
      </w:tblPr>
      <w:tblGrid>
        <w:gridCol w:w="1424"/>
        <w:gridCol w:w="1249"/>
        <w:gridCol w:w="1257"/>
        <w:gridCol w:w="211"/>
        <w:gridCol w:w="916"/>
        <w:gridCol w:w="109"/>
        <w:gridCol w:w="109"/>
        <w:gridCol w:w="109"/>
        <w:gridCol w:w="109"/>
        <w:gridCol w:w="211"/>
        <w:gridCol w:w="91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 of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 of continuing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exchange rate changes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of continuing operations for the six months ended June 30, 2026 of $10.0 million consisted of income from continuing operations of $15.3 million, non-cash net charges totaling $45.8 million, which include depreciation, amortization, stock-based compensation and other non-cash charges, and $51.1 million of cash invested in working capital and other net operating assets. The cash invested in working capital and other net operating assets was primarily the result of increases in accounts receivable and inventory, partially offset by increases in accounts payable, largely the result of seasonal demand, as well as settlement of assumed liabilities related to success-based costs incurred by OmniMax as a result of the sale.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of continuing operations for the six months ended June 30, 2025 of $48.6 million consisted of income from continuing operations of $52.6 million, non-cash net charges totaling $22.7 million, which include depreciation, amortization, stock-based compensation and other non-cash charges, and $26.7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of cash invested in working capital and other net operating assets. The cash invested in working capital and other net operating assets was primarily the result of increases in accounts receivable and inventory, partially offset by increases in accounts payable, largely the result of seasonal demand.</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cash used in investing activities of continuing operations for the six months ended June 30, 2026 of $1,350.9 million primarily reflected the acquisition of OmniMax for $1,337.6 million and a $2.1 million acquisition-payable payment related to one of the metal roofing businesses acquired in 2025, as well as net capital expenditures of $11.2 million.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Net cash used in investing activities of continuing operations for the six months ended June 30, 2025 was $221.6 million, primarily due to the acquisitions of Lane Supply and the two metal roofing related businesses of $192.9 million, and net capital expenditures of $29.0 million largely related to the purchases of two facilities. These investments were partially offset by a receipt of the $0.3 million final working capital settlement received in connection with the sale of the Company's electronic locker business within the Company's Residential segment in the fourth quarter of 2024.</w:t>
      </w:r>
    </w:p>
    <w:p>
      <w:pPr>
        <w:pStyle w:val="TextBody"/>
        <w:bidi w:val="0"/>
        <w:spacing w:lineRule="auto" w:line="288" w:before="200" w:after="283"/>
        <w:jc w:val="both"/>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totaled $1,212.8 million for the six months ended June 30, 2026 primarily reflected $1,321.0 million of proceeds from long-term debt, which were used to fund the acquisition of OmniMax, refinance certain existing indebtedness, and pay related fees and expenses. These inflows were partially offset by $75.0 million of long-term debt repayments, $29.3 million of debt issuance cost payments, $3.4 million was used to repurchase common stock related to the net settlement of tax obligations for participants in the Company's equity incentive plans, and a $0.5 million excise tax payment related to the repurchase of common stock in 2025 under the Company's authorized share repurchase program.</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Net cash used in financing activities for the six months ended June 30, 2025 of $62.5 million consisted of common stock repurchases. The Company paid $60.0 million during the six months ended June 30, 2025 related to the repurchase of 914,679 shares under the Company's authorized share repurchase program. The remainder of the repurchased common stock of $2.5 million related to the net settlement of tax obligations for participants in the Company's equity incentive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305473"/>
          <w:sz w:val="22"/>
        </w:rPr>
      </w:pPr>
      <w:r>
        <w:rPr>
          <w:rFonts w:ascii="Arial;sans-serif" w:hAnsi="Arial;sans-serif"/>
          <w:b/>
          <w:color w:val="305473"/>
          <w:sz w:val="22"/>
        </w:rPr>
        <w:t>Critical Accounting Estimates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to the Company's critical accounting estimates during the quarter ended June 30, 2026 from those disclosed in the consolidated financial statements and accompanying notes contained in the Company's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305473"/>
          <w:sz w:val="22"/>
        </w:rPr>
      </w:pPr>
      <w:r>
        <w:rPr>
          <w:rFonts w:ascii="Arial;sans-serif" w:hAnsi="Arial;sans-serif"/>
          <w:b/>
          <w:color w:val="305473"/>
          <w:sz w:val="22"/>
        </w:rPr>
        <w:t>Recent Accounting Pronouncements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See Note 1 to the Company's consolidated financial statements in Part I, Item 1 of this Quarterly Report on Form 10-Q for further information on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pPr>
      <w:r>
        <w:rPr>
          <w:rFonts w:ascii="Arial;sans-serif" w:hAnsi="Arial;sans-serif"/>
          <w:b/>
          <w:color w:val="305473"/>
          <w:sz w:val="20"/>
        </w:rPr>
        <w:t>Item 3.</w:t>
      </w:r>
      <w:r>
        <w:rPr>
          <w:color w:val="305473"/>
        </w:rPr>
        <w:t xml:space="preserve"> </w:t>
      </w:r>
      <w:r>
        <w:rPr>
          <w:rFonts w:ascii="Arial;sans-serif" w:hAnsi="Arial;sans-serif"/>
          <w:b/>
          <w:i/>
          <w:color w:val="305473"/>
          <w:sz w:val="20"/>
          <w:u w:val="single"/>
        </w:rPr>
        <w:t>Quantitative and Qualitative Disclosures About Market Risk</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the ordinary course of business, the Company is exposed to various market risk factors, including changes in general economic conditions, competition, interest rates, foreign exchange rates, and raw materials pricing and availability. In addition, the Company is exposed to other financial market risks, primarily related to its foreign operations. In the current year, there have been no material changes in the information provided under Item 7A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left"/>
        <w:rPr/>
      </w:pPr>
      <w:r>
        <w:rPr>
          <w:rFonts w:ascii="Arial;sans-serif" w:hAnsi="Arial;sans-serif"/>
          <w:b/>
          <w:color w:val="305473"/>
          <w:sz w:val="20"/>
        </w:rPr>
        <w:t xml:space="preserve">Item 4. </w:t>
      </w:r>
      <w:r>
        <w:rPr>
          <w:rFonts w:ascii="Arial;sans-serif" w:hAnsi="Arial;sans-serif"/>
          <w:b/>
          <w:i/>
          <w:color w:val="305473"/>
          <w:sz w:val="20"/>
          <w:u w:val="single"/>
        </w:rPr>
        <w:t>Controls and Procedures</w:t>
      </w:r>
      <w:r>
        <w:rPr>
          <w:color w:val="305473"/>
        </w:rPr>
        <w:t> </w:t>
      </w:r>
    </w:p>
    <w:p>
      <w:pPr>
        <w:pStyle w:val="TextBody"/>
        <w:bidi w:val="0"/>
        <w:spacing w:lineRule="auto" w:line="288" w:before="100" w:after="283"/>
        <w:ind w:left="0" w:right="0" w:hanging="1170"/>
        <w:jc w:val="left"/>
        <w:rPr>
          <w:rFonts w:ascii="Arial;sans-serif" w:hAnsi="Arial;sans-serif"/>
          <w:b w:val="false"/>
          <w:color w:val="000000"/>
          <w:sz w:val="20"/>
        </w:rPr>
      </w:pPr>
      <w:r>
        <w:rPr>
          <w:rFonts w:ascii="Arial;sans-serif" w:hAnsi="Arial;sans-serif"/>
          <w:b w:val="false"/>
          <w:color w:val="000000"/>
          <w:sz w:val="20"/>
        </w:rPr>
        <w:t>(a)Evaluation of Disclosure Controls and Procedures</w:t>
      </w:r>
    </w:p>
    <w:p>
      <w:pPr>
        <w:pStyle w:val="TextBody"/>
        <w:bidi w:val="0"/>
        <w:spacing w:lineRule="auto" w:line="288" w:before="100" w:after="283"/>
        <w:jc w:val="both"/>
        <w:rPr/>
      </w:pPr>
      <w:r>
        <w:rPr>
          <w:rFonts w:ascii="Arial;sans-serif" w:hAnsi="Arial;sans-serif"/>
          <w:b w:val="false"/>
          <w:color w:val="000000"/>
          <w:sz w:val="20"/>
        </w:rPr>
        <w:t>The Company maintains a system of disclosure controls and procedures (as defined in Rule 13a-15(e) and 15d-15(e) under the Securities Exchange Act of 1934, as amended). Management of the Company, under the supervision and with the participation of the Chief Executive Officer and the Chief Financial Officer, evaluated the effectiveness of the Company’s disclosure controls and procedures as of the end of the period covered in this report. Based upon that evaluation and the definition of disclosure controls and procedures contained in Rule 13a-15(e) and 15d-15(e) under the Securities Exchange Act of 1934, as amended, the Company’s Chief Executive Officer and Chief Financial Officer have concluded that as of the end of such period the Company’s disclosure controls and procedures were effective.</w:t>
      </w:r>
      <w:r>
        <w:rPr>
          <w:color w:val="000000"/>
        </w:rPr>
        <w:t> </w:t>
      </w:r>
    </w:p>
    <w:p>
      <w:pPr>
        <w:pStyle w:val="TextBody"/>
        <w:bidi w:val="0"/>
        <w:spacing w:lineRule="auto" w:line="288" w:before="200" w:after="283"/>
        <w:ind w:left="0" w:right="0" w:hanging="1170"/>
        <w:jc w:val="left"/>
        <w:rPr>
          <w:rFonts w:ascii="Arial;sans-serif" w:hAnsi="Arial;sans-serif"/>
          <w:b w:val="false"/>
          <w:color w:val="000000"/>
          <w:sz w:val="20"/>
        </w:rPr>
      </w:pPr>
      <w:r>
        <w:rPr>
          <w:rFonts w:ascii="Arial;sans-serif" w:hAnsi="Arial;sans-serif"/>
          <w:b w:val="false"/>
          <w:color w:val="000000"/>
          <w:sz w:val="20"/>
        </w:rPr>
        <w:t>(b)Changes in Internal Control over Financial Reporting</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Company acquired OmniMax International, LLC on February 2, 2026. This acquisition will be excluded from management's annual report on internal control over financial reporting for the year ending December 31, 2026. There have been no changes in the Company’s internal control over financial reporting (as defined by Rule 13a-15(f) or 15d-15(f) under the Securities Exchange Act of 1934, as amended) that occurred during the period covered by this Quarterly Report on Form 10-Q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00" w:after="283"/>
        <w:jc w:val="left"/>
        <w:rPr>
          <w:rFonts w:ascii="Arial;sans-serif" w:hAnsi="Arial;sans-serif"/>
          <w:b w:val="false"/>
          <w:color w:val="000000"/>
          <w:sz w:val="20"/>
        </w:rPr>
      </w:pPr>
      <w:r>
        <w:rPr>
          <w:rFonts w:ascii="Arial;sans-serif" w:hAnsi="Arial;sans-serif"/>
          <w:b w:val="false"/>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 xml:space="preserve">Item 1. </w:t>
      </w:r>
      <w:r>
        <w:rPr>
          <w:rFonts w:ascii="Arial;sans-serif" w:hAnsi="Arial;sans-serif"/>
          <w:b/>
          <w:i/>
          <w:color w:val="305473"/>
          <w:sz w:val="20"/>
          <w:u w:val="single"/>
        </w:rPr>
        <w:t>Legal Proceedings</w:t>
      </w:r>
    </w:p>
    <w:p>
      <w:pPr>
        <w:pStyle w:val="TextBody"/>
        <w:bidi w:val="0"/>
        <w:spacing w:lineRule="auto" w:line="288" w:before="10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the Company has been and may in the future become involved in litigation, as well as other legal proceedings in the ordinary course of the Company's business. The Company maintains liability insurance against risks arising out of the normal course of business. While the outcome of these legal proceedings cannot be predicted with certainty, the Company's management, based on currently available facts, does not believe that the ultimate outcome of any pending litigation will have a material effect on the Company's consolidated financial condition, results of operations, or liquidity.</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The Company entered into an agreement to settle a matter related to the Company's Discontinued Operations. See Note 13 to the Company's consolidated financial statements in Part I, Item 1 of this Quarterly Report on Form 10-Q for further information on the matter.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Item 1A.</w:t>
      </w:r>
      <w:r>
        <w:rPr>
          <w:color w:val="305473"/>
        </w:rPr>
        <w:t xml:space="preserve"> </w:t>
      </w:r>
      <w:r>
        <w:rPr>
          <w:rFonts w:ascii="Arial;sans-serif" w:hAnsi="Arial;sans-serif"/>
          <w:b/>
          <w:i/>
          <w:color w:val="305473"/>
          <w:sz w:val="20"/>
          <w:u w:val="single"/>
        </w:rPr>
        <w:t>Risk Factors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addition to the other information set forth in this report, you should carefully consider the risks discussed in “Part I, Item 1A. Risk Factors” in the Company's Annual Report on Form 10-K for the fiscal year ended December 31, 2025. These risks and uncertainties have the potential to materially affect the Company's business, financial condition, results of operation, cash flows, and future prospects. Additional risks and uncertainties not currently known to the Company or that the Company currently deems immaterial may materially adversely impact the Company's business, financial condition, or operating results. During the quarter ended June 30, 2026, except as set forth below, there have been no material changes from the risk factors previously disclosed in the Company's Annual Report on Form 10-K for the fiscal year ended December 31, 2025.</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Armed conflict, future terror attacks, natural disasters or other catastrophic events or public health crises beyond the Company's control could negatively impact the Company's business, results of operations, and cash flows.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Armed conflict, terrorist activities, civil disturbances, natural or man-made disasters, including those that may increase in frequency or severity due to climate change, or other catastrophic events or public health crises, could result in material, economic instability or recession, material damage to the Company's facilities operational disruptions, reduced production capacity, and decreased demand for the Company's products. The Company continues to monitor the ongoing conflict between Russia and Ukraine, as well as other conflicts, including the ongoing conflicts in the Middle East, which have already affected energy and raw materials costs for the Company’s products, thereby affecting the Company’s results of operations. If these conflicts are not resolved, they may continue to result in inflationary conditions and economic instability, affecting the Company’s end markets, which could adversely affect the Company’s business. The Company has experienced operating disruptions related to severe weather across the U.S., and from time to time, terrorist activities worldwide have caused instability in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financial markets. The Company could incur losses and liabilities arising from such events, and any resulting business interruptions could have an adverse effect on the Company's business,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 xml:space="preserve">Item 2. </w:t>
      </w:r>
      <w:r>
        <w:rPr>
          <w:rFonts w:ascii="Arial;sans-serif" w:hAnsi="Arial;sans-serif"/>
          <w:b/>
          <w:i/>
          <w:color w:val="305473"/>
          <w:sz w:val="20"/>
          <w:u w:val="single"/>
        </w:rPr>
        <w:t>Unregistered Sales of Equity Securities and Use of Proceeds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 April 2025, the Company's Board of Directors authorized a share repurchase program of up to $200 million of the Company's issued and outstanding common stock. The program has a duration of three years, ending April 30, 2028. Repurchases may be made, from time to time, in amounts and at prices the Company deems appropriate, subject to certain restrictions under the Credit Agreement, market conditions, applicable legal requirements, debt covenants and other considerations. Any such repurchases may be executed using open market purchases, privately negotiated agreements or other transactions. The repurchase program may be suspended or discontinued at any time at the Company's discretion.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did not purchase shares during the quarter ended June 30, 2026 and the dollar value of shares that may yet be purchased under the authorized program is $200 million.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did not sell unregistered equity securities during the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 xml:space="preserve">Item 3. </w:t>
      </w:r>
      <w:r>
        <w:rPr>
          <w:rFonts w:ascii="Arial;sans-serif" w:hAnsi="Arial;sans-serif"/>
          <w:b/>
          <w:i/>
          <w:color w:val="305473"/>
          <w:sz w:val="20"/>
          <w:u w:val="single"/>
        </w:rPr>
        <w:t>Defaults Upon Senior Securities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 xml:space="preserve">Item 4. </w:t>
      </w:r>
      <w:r>
        <w:rPr>
          <w:rFonts w:ascii="Arial;sans-serif" w:hAnsi="Arial;sans-serif"/>
          <w:b/>
          <w:i/>
          <w:color w:val="305473"/>
          <w:sz w:val="20"/>
          <w:u w:val="single"/>
        </w:rPr>
        <w:t>Mine Safety Disclosures</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305473"/>
          <w:sz w:val="20"/>
        </w:rPr>
        <w:t xml:space="preserve">Item 5. </w:t>
      </w:r>
      <w:r>
        <w:rPr>
          <w:rFonts w:ascii="Arial;sans-serif" w:hAnsi="Arial;sans-serif"/>
          <w:b/>
          <w:i/>
          <w:color w:val="305473"/>
          <w:sz w:val="20"/>
          <w:u w:val="single"/>
        </w:rPr>
        <w:t>Other Information</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During the quarter ended June 30, 2026, none of the Company's directors or officers (as defined in Rule 16a-1(f) under the Exchange Act) adopted, modified, or terminated a “Rule 10b5-1 trading arrangement” or a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305473"/>
          <w:sz w:val="20"/>
        </w:rPr>
        <w:t xml:space="preserve">Item 6. </w:t>
      </w:r>
      <w:r>
        <w:rPr>
          <w:rFonts w:ascii="Arial;sans-serif" w:hAnsi="Arial;sans-serif"/>
          <w:b/>
          <w:i/>
          <w:color w:val="305473"/>
          <w:sz w:val="20"/>
          <w:u w:val="single"/>
        </w:rPr>
        <w:t>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4"/>
        <w:gridCol w:w="2740"/>
        <w:gridCol w:w="2740"/>
        <w:gridCol w:w="38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sans-serif" w:hAnsi="Arial;sans-serif"/>
                  <w:b w:val="false"/>
                  <w:color w:val="0000FF"/>
                  <w:sz w:val="20"/>
                  <w:u w:val="single"/>
                </w:rPr>
                <w:t>2.1</w:t>
              </w:r>
            </w:hyperlink>
          </w:p>
        </w:tc>
        <w:tc>
          <w:tcPr>
            <w:tcW w:w="9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Purchase Agreement, by and among Gibraltar Industries, Inc., Arundel Square Garden LLC and Barnsbury Estate LLC, dated as of November 16, 2025 (incorporated by reference to Exhibit 2.1 to the Company's Current Report on Form 8-K filed November 17, 2025) (1)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3.1</w:t>
              </w:r>
            </w:hyperlink>
          </w:p>
        </w:tc>
        <w:tc>
          <w:tcPr>
            <w:tcW w:w="93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Certificate of Incorporation of Gibraltar Industries, Inc., as amended by: (i) Certificate of Amendment of Certificate of Incorporation of Gibraltar Industries, Inc. filed on October 27, 2004, (ii) Certificate of Change of Registered Agent and Registered Office of Gibraltar Industries, Inc. filed on May 11, 2005, (iii) Certificate of Amendment of Certificate of Incorporation of Gibraltar Industries, Inc. filed on May 22, 2012, (iv) Certificate of Amendment of Certificate of Incorporation of Gibraltar Industries, Inc. filed on May 11, 2015, (v) Certificate of Change of Registered Agent and/or Registered Office filed on January 10, 2019, (vi) Certificate of Amendment of Certificate of Incorporation of Gibraltar Industries, Inc. filed on May 6, 2021 (incorporated by reference to Exhibit 3.1 to the Company’s Quarterly Report on Form 10-Q filed August 3, 2021), (vii) </w:t>
            </w:r>
            <w:hyperlink r:id="rId5">
              <w:r>
                <w:rPr>
                  <w:rStyle w:val="InternetLink"/>
                  <w:rFonts w:ascii="Arial;sans-serif" w:hAnsi="Arial;sans-serif"/>
                  <w:b w:val="false"/>
                  <w:color w:val="0000FF"/>
                  <w:sz w:val="20"/>
                  <w:u w:val="single"/>
                </w:rPr>
                <w:t xml:space="preserve">Certificate of Amendment to the Certificate of Incorporation of Gibraltar Industries, Inc. </w:t>
              </w:r>
            </w:hyperlink>
            <w:r>
              <w:rPr>
                <w:rFonts w:ascii="Arial;sans-serif" w:hAnsi="Arial;sans-serif"/>
                <w:b w:val="false"/>
                <w:color w:val="000000"/>
                <w:sz w:val="20"/>
              </w:rPr>
              <w:t xml:space="preserve">filed on May 3, 2023 (incorporated by reference to Exhibit 3.1 to the Company’s Current Report on Form 8-K filed May 8, 2023), and (viii) </w:t>
            </w:r>
            <w:hyperlink r:id="rId6">
              <w:r>
                <w:rPr>
                  <w:rStyle w:val="InternetLink"/>
                  <w:rFonts w:ascii="Arial;sans-serif" w:hAnsi="Arial;sans-serif"/>
                  <w:b w:val="false"/>
                  <w:color w:val="0000FF"/>
                  <w:sz w:val="20"/>
                  <w:u w:val="single"/>
                </w:rPr>
                <w:t>Certificate of Amendment of the Certificate of Incorporation of Gibraltar Industries, Inc.</w:t>
              </w:r>
            </w:hyperlink>
            <w:r>
              <w:rPr>
                <w:color w:val="000000"/>
              </w:rPr>
              <w:t xml:space="preserve"> </w:t>
            </w:r>
            <w:r>
              <w:rPr>
                <w:rFonts w:ascii="Arial;sans-serif" w:hAnsi="Arial;sans-serif"/>
                <w:b w:val="false"/>
                <w:color w:val="000000"/>
                <w:sz w:val="20"/>
              </w:rPr>
              <w:t>filed on May 1, 2025 (incorporated by reference to Exhibit 3.1 to the Company’s Current Report on Form 8-K filed May 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Arial;sans-serif" w:hAnsi="Arial;sans-serif"/>
                  <w:b w:val="false"/>
                  <w:color w:val="0000FF"/>
                  <w:sz w:val="20"/>
                  <w:u w:val="single"/>
                </w:rPr>
                <w:t>3.2</w:t>
              </w:r>
            </w:hyperlink>
          </w:p>
        </w:tc>
        <w:tc>
          <w:tcPr>
            <w:tcW w:w="93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Second Amended and Restated By-Laws of Gibraltar Industries, Inc., effective as of December 7, 2022 (incorporated by reference to Exhibit 3.1 to the Company’s Current Report on Form 8-K/A filed December 9, 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exhibit311.htm">
              <w:r>
                <w:rPr>
                  <w:rStyle w:val="InternetLink"/>
                  <w:rFonts w:ascii="Arial;sans-serif" w:hAnsi="Arial;sans-serif"/>
                  <w:b w:val="false"/>
                  <w:color w:val="0000FF"/>
                  <w:sz w:val="20"/>
                  <w:u w:val="single"/>
                </w:rPr>
                <w:t>31.1</w:t>
              </w:r>
            </w:hyperlink>
            <w:r>
              <w:rPr>
                <w:rFonts w:ascii="Arial;sans-serif" w:hAnsi="Arial;sans-serif"/>
                <w:b w:val="false"/>
                <w:color w:val="000000"/>
                <w:sz w:val="20"/>
              </w:rPr>
              <w:t>*</w:t>
            </w:r>
          </w:p>
        </w:tc>
        <w:tc>
          <w:tcPr>
            <w:tcW w:w="93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Certification of Chairman of the Board, President and Chief Executive Officer pursuant to Section 302 of the Sarbanes–Oxley Act of 2002.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exhibit312.htm">
              <w:r>
                <w:rPr>
                  <w:rStyle w:val="InternetLink"/>
                  <w:rFonts w:ascii="Arial;sans-serif" w:hAnsi="Arial;sans-serif"/>
                  <w:b w:val="false"/>
                  <w:color w:val="0000FF"/>
                  <w:sz w:val="20"/>
                  <w:u w:val="single"/>
                </w:rPr>
                <w:t>31.2</w:t>
              </w:r>
            </w:hyperlink>
            <w:r>
              <w:rPr>
                <w:rFonts w:ascii="Arial;sans-serif" w:hAnsi="Arial;sans-serif"/>
                <w:b w:val="false"/>
                <w:color w:val="000000"/>
                <w:sz w:val="20"/>
              </w:rPr>
              <w:t>*</w:t>
            </w:r>
          </w:p>
        </w:tc>
        <w:tc>
          <w:tcPr>
            <w:tcW w:w="937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Certification of Vice President and Chief Financial Officer pursuant to Section 302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49"/>
        <w:gridCol w:w="233"/>
        <w:gridCol w:w="235"/>
        <w:gridCol w:w="2698"/>
        <w:gridCol w:w="2666"/>
        <w:gridCol w:w="3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exhibit321.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Certification of the Chairman of the Board, President and Chief Executive Officer pursuant to Title 18, United States Code, Section 1350, as adopted pursuant to Section 906 of the Sarbanes–Oxley Act of 2002.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q22026exhibit322.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Certification of the Vice President and Chief Financial Officer pursuant to Title 18, United States Code, Section 1350, as adopted pursuant to Section 906 of the Sarbanes–Oxley Act of 2002.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Schedules (or similar attachments) have been omitted pursuant to Item 601(a)(5) of Regulation S-K. The Company hereby undertakes to furnish supplemental copies of any of the omitted schedules upon request by the U.S. Securities and Exchange Commission; provided, that the Company may request confidential treatment pursuant to Rule 24b-2 of the Securities Exchange Act of 1934, as amended, for any schedules so 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Submitted electronically with this Quarterly Report on Form 10-Q.</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Documents are furnished not 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b9df393ad74c06a85565e0aaefc8d4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305473"/>
          <w:sz w:val="20"/>
        </w:rPr>
      </w:pPr>
      <w:r>
        <w:rPr>
          <w:rFonts w:ascii="Arial;sans-serif" w:hAnsi="Arial;sans-serif"/>
          <w:b/>
          <w:color w:val="305473"/>
          <w:sz w:val="20"/>
        </w:rPr>
        <w:t>SIGNATURES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right"/>
        <w:rPr>
          <w:color w:val="000000"/>
        </w:rPr>
      </w:pPr>
      <w:r>
        <w:rPr>
          <w:color w:val="000000"/>
        </w:rPr>
        <w:t> </w:t>
      </w:r>
    </w:p>
    <w:tbl>
      <w:tblPr>
        <w:tblW w:w="3029" w:type="dxa"/>
        <w:jc w:val="right"/>
        <w:tblInd w:w="0" w:type="dxa"/>
        <w:tblLayout w:type="fixed"/>
        <w:tblCellMar>
          <w:top w:w="28" w:type="dxa"/>
          <w:left w:w="28" w:type="dxa"/>
          <w:bottom w:w="28" w:type="dxa"/>
          <w:right w:w="28" w:type="dxa"/>
        </w:tblCellMar>
      </w:tblPr>
      <w:tblGrid>
        <w:gridCol w:w="970"/>
        <w:gridCol w:w="852"/>
        <w:gridCol w:w="1207"/>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Arial;sans-serif" w:hAnsi="Arial;sans-serif"/>
                <w:b w:val="false"/>
                <w:color w:val="000000"/>
                <w:sz w:val="20"/>
                <w:u w:val="single"/>
              </w:rPr>
            </w:pPr>
            <w:r>
              <w:rPr>
                <w:rFonts w:ascii="Arial;sans-serif" w:hAnsi="Arial;sans-serif"/>
                <w:b w:val="false"/>
                <w:color w:val="000000"/>
                <w:sz w:val="20"/>
                <w:u w:val="single"/>
              </w:rPr>
              <w:t>GIBRALTAR INDUSTRIES,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bl>
    <w:p>
      <w:pPr>
        <w:pStyle w:val="TextBody"/>
        <w:bidi w:val="0"/>
        <w:spacing w:before="0" w:after="0"/>
        <w:jc w:val="right"/>
        <w:rPr/>
      </w:pPr>
      <w:r>
        <w:rPr/>
      </w:r>
    </w:p>
    <w:tbl>
      <w:tblPr>
        <w:tblW w:w="5519" w:type="dxa"/>
        <w:jc w:val="right"/>
        <w:tblInd w:w="0" w:type="dxa"/>
        <w:tblLayout w:type="fixed"/>
        <w:tblCellMar>
          <w:top w:w="28" w:type="dxa"/>
          <w:left w:w="28" w:type="dxa"/>
          <w:bottom w:w="28" w:type="dxa"/>
          <w:right w:w="28" w:type="dxa"/>
        </w:tblCellMar>
      </w:tblPr>
      <w:tblGrid>
        <w:gridCol w:w="1765"/>
        <w:gridCol w:w="1554"/>
        <w:gridCol w:w="2200"/>
      </w:tblGrid>
      <w:tr>
        <w:trPr/>
        <w:tc>
          <w:tcPr>
            <w:tcW w:w="176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T. Bosway</w:t>
            </w:r>
          </w:p>
        </w:tc>
      </w:tr>
      <w:tr>
        <w:trPr/>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T. Bosway</w:t>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Chairman of the Board, President and Chief Executive Officer</w:t>
            </w:r>
          </w:p>
        </w:tc>
      </w:tr>
    </w:tbl>
    <w:p>
      <w:pPr>
        <w:pStyle w:val="TextBody"/>
        <w:bidi w:val="0"/>
        <w:spacing w:before="0" w:after="0"/>
        <w:jc w:val="left"/>
        <w:rPr/>
      </w:pPr>
      <w:r>
        <w:rPr/>
      </w:r>
    </w:p>
    <w:tbl>
      <w:tblPr>
        <w:tblW w:w="3810" w:type="dxa"/>
        <w:jc w:val="right"/>
        <w:tblInd w:w="0" w:type="dxa"/>
        <w:tblLayout w:type="fixed"/>
        <w:tblCellMar>
          <w:top w:w="28" w:type="dxa"/>
          <w:left w:w="28" w:type="dxa"/>
          <w:bottom w:w="28" w:type="dxa"/>
          <w:right w:w="28" w:type="dxa"/>
        </w:tblCellMar>
      </w:tblPr>
      <w:tblGrid>
        <w:gridCol w:w="1220"/>
        <w:gridCol w:w="1071"/>
        <w:gridCol w:w="1519"/>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bl>
    <w:p>
      <w:pPr>
        <w:pStyle w:val="TextBody"/>
        <w:bidi w:val="0"/>
        <w:spacing w:lineRule="auto" w:line="288" w:before="140" w:after="283"/>
        <w:jc w:val="left"/>
        <w:rPr>
          <w:rFonts w:ascii="Arial;sans-serif" w:hAnsi="Arial;sans-serif"/>
          <w:b w:val="false"/>
          <w:color w:val="000000"/>
          <w:sz w:val="20"/>
        </w:rPr>
      </w:pPr>
      <w:r>
        <w:rPr>
          <w:rFonts w:ascii="Arial;sans-serif" w:hAnsi="Arial;sans-serif"/>
          <w:b w:val="false"/>
          <w:color w:val="000000"/>
          <w:sz w:val="20"/>
        </w:rPr>
        <w:t xml:space="preserve">Date: August 5, 2026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William T. Bosway, certify that: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Gibraltar Industries, Inc.;</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720"/>
        <w:jc w:val="left"/>
        <w:rPr>
          <w:color w:val="000000"/>
        </w:rPr>
      </w:pPr>
      <w:r>
        <w:rPr>
          <w:color w:val="000000"/>
        </w:rPr>
        <w:t> </w:t>
      </w:r>
    </w:p>
    <w:tbl>
      <w:tblPr>
        <w:tblW w:w="7841"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1610"/>
        <w:gridCol w:w="1610"/>
        <w:gridCol w:w="2285"/>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T. Bosway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T. Bosway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Chairman of the Board,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CERTIFICATIONS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Joseph A. Lovechio, certify that: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Gibraltar Industries, Inc.;</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90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803" w:type="dxa"/>
        <w:jc w:val="left"/>
        <w:tblInd w:w="0" w:type="dxa"/>
        <w:tblLayout w:type="fixed"/>
        <w:tblCellMar>
          <w:top w:w="28" w:type="dxa"/>
          <w:left w:w="28" w:type="dxa"/>
          <w:bottom w:w="28" w:type="dxa"/>
          <w:right w:w="28" w:type="dxa"/>
        </w:tblCellMar>
      </w:tblPr>
      <w:tblGrid>
        <w:gridCol w:w="211"/>
        <w:gridCol w:w="186"/>
        <w:gridCol w:w="188"/>
        <w:gridCol w:w="237"/>
        <w:gridCol w:w="237"/>
        <w:gridCol w:w="237"/>
        <w:gridCol w:w="237"/>
        <w:gridCol w:w="237"/>
        <w:gridCol w:w="239"/>
        <w:gridCol w:w="1108"/>
        <w:gridCol w:w="1108"/>
        <w:gridCol w:w="157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CHAIRMAN OF THE BOARD, PRESIDENT AND CHIEF EXECUTIVE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TITLE 18, UNITED STATES CODE, SECTION 1350, AS ADOPTED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William T. Bosway, Chairman of the Board, President and Chief Executive Officer, of Gibraltar Industries, Inc. (the “Company”), certify, pursuant to Section 906 of the Sarbanes-Oxley Act of 2002, 18 U.S.C. Section 1350, that: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Quarterly Report on Form 10-Q of the Company for the quarter ended June 30, 2026 (the “Report”) fully complies with the requirements of Section 13(a) or 15(d) of the Securities Exchange Act of 1934 (15 U.S.C. 78m); and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519" w:type="dxa"/>
        <w:jc w:val="right"/>
        <w:tblInd w:w="0" w:type="dxa"/>
        <w:tblLayout w:type="fixed"/>
        <w:tblCellMar>
          <w:top w:w="28" w:type="dxa"/>
          <w:left w:w="28" w:type="dxa"/>
          <w:bottom w:w="28" w:type="dxa"/>
          <w:right w:w="28" w:type="dxa"/>
        </w:tblCellMar>
      </w:tblPr>
      <w:tblGrid>
        <w:gridCol w:w="1765"/>
        <w:gridCol w:w="1554"/>
        <w:gridCol w:w="2200"/>
      </w:tblGrid>
      <w:tr>
        <w:trPr/>
        <w:tc>
          <w:tcPr>
            <w:tcW w:w="176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T. Bosway</w:t>
            </w:r>
          </w:p>
        </w:tc>
      </w:tr>
      <w:tr>
        <w:trPr/>
        <w:tc>
          <w:tcPr>
            <w:tcW w:w="5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T. Bosway</w:t>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Chairman of the Board, President and Chief Executive Officer</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CERTIFICATION OF VICE PRESIDENT AND CHIEF FINANCIAL OFFICER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TITLE 18, UNITED STATES CODE, SECTION 1350, AS ADOPTED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Joseph A. Lovechio, Vice President and Chief Financial Officer, of Gibraltar Industries, Inc. (the “Company”), certify, pursuant to Section 906 of the Sarbanes-Oxley Act of 2002, 18 U.S.C. Section 1350, that: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Quarterly Report on Form 10-Q of the Company for the quarter ended June 30, 2026 (the “Report”) fully complies with the requirements of Section 13(a) or 15(d) of the Securities Exchange Act of 1934 (15 U.S.C. 78m); and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3810" w:type="dxa"/>
        <w:jc w:val="right"/>
        <w:tblInd w:w="0" w:type="dxa"/>
        <w:tblLayout w:type="fixed"/>
        <w:tblCellMar>
          <w:top w:w="28" w:type="dxa"/>
          <w:left w:w="28" w:type="dxa"/>
          <w:bottom w:w="28" w:type="dxa"/>
          <w:right w:w="28" w:type="dxa"/>
        </w:tblCellMar>
      </w:tblPr>
      <w:tblGrid>
        <w:gridCol w:w="1220"/>
        <w:gridCol w:w="1071"/>
        <w:gridCol w:w="1519"/>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Lovechio</w:t>
            </w:r>
          </w:p>
        </w:tc>
      </w:tr>
      <w:tr>
        <w:trPr/>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Joseph A. Lovechio</w:t>
            </w:r>
          </w:p>
        </w:tc>
      </w:tr>
      <w:tr>
        <w:trPr/>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562/000114036125042426/ef20059383_ex2-1.htm" TargetMode="External"/><Relationship Id="rId4" Type="http://schemas.openxmlformats.org/officeDocument/2006/relationships/hyperlink" Target="https://www.sec.gov/Archives/edgar/data/912562/000091256221000029/ex31-gibraltarcertofinca.htm" TargetMode="External"/><Relationship Id="rId5" Type="http://schemas.openxmlformats.org/officeDocument/2006/relationships/hyperlink" Target="https://www.sec.gov/Archives/edgar/data/912562/000091256223000027/exhibit31-certificateofame.htm" TargetMode="External"/><Relationship Id="rId6" Type="http://schemas.openxmlformats.org/officeDocument/2006/relationships/hyperlink" Target="https://www.sec.gov/Archives/edgar/data/912562/000091256225000022/exhibit31-certificateofame.htm" TargetMode="External"/><Relationship Id="rId7" Type="http://schemas.openxmlformats.org/officeDocument/2006/relationships/hyperlink" Target="https://www.sec.gov/Archives/edgar/data/912562/000091256222000049/exhibit31amendedandrestat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18465</Words>
  <Characters>103875</Characters>
  <CharactersWithSpaces>120934</CharactersWithSpaces>
  <Paragraphs>2717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