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Washington, DC 20549</w:t>
      </w:r>
    </w:p>
    <w:p>
      <w:pPr>
        <w:pStyle w:val="TextBody"/>
        <w:bidi w:val="0"/>
        <w:spacing w:lineRule="auto" w:line="288" w:before="120" w:after="283"/>
        <w:jc w:val="center"/>
        <w:rPr>
          <w:rFonts w:ascii="Arial;sans-serif" w:hAnsi="Arial;sans-serif"/>
          <w:b/>
          <w:color w:val="000000"/>
          <w:sz w:val="40"/>
        </w:rPr>
      </w:pPr>
      <w:r>
        <w:rPr>
          <w:rFonts w:ascii="Arial;sans-serif" w:hAnsi="Arial;sans-serif"/>
          <w:b/>
          <w:color w:val="000000"/>
          <w:sz w:val="40"/>
        </w:rPr>
        <w:t xml:space="preserve">FORM 8-K </w:t>
      </w:r>
    </w:p>
    <w:p>
      <w:pPr>
        <w:pStyle w:val="TextBody"/>
        <w:bidi w:val="0"/>
        <w:spacing w:lineRule="auto" w:line="288" w:before="120" w:after="283"/>
        <w:jc w:val="center"/>
        <w:rPr>
          <w:rFonts w:ascii="Arial;sans-serif" w:hAnsi="Arial;sans-serif"/>
          <w:b/>
          <w:color w:val="000000"/>
          <w:sz w:val="28"/>
        </w:rPr>
      </w:pPr>
      <w:r>
        <w:rPr>
          <w:rFonts w:ascii="Arial;sans-serif" w:hAnsi="Arial;sans-serif"/>
          <w:b/>
          <w:color w:val="000000"/>
          <w:sz w:val="28"/>
        </w:rPr>
        <w:t>CURRENT REPORT</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Pursuant to Section 13 or 15(d) of the Securities Exchange Act of 1934</w:t>
      </w:r>
    </w:p>
    <w:p>
      <w:pPr>
        <w:pStyle w:val="TextBody"/>
        <w:bidi w:val="0"/>
        <w:spacing w:lineRule="auto" w:line="288" w:before="260" w:after="283"/>
        <w:jc w:val="center"/>
        <w:rPr>
          <w:rFonts w:ascii="Arial;sans-serif" w:hAnsi="Arial;sans-serif"/>
          <w:b/>
          <w:color w:val="000000"/>
          <w:sz w:val="24"/>
        </w:rPr>
      </w:pPr>
      <w:r>
        <w:rPr>
          <w:rFonts w:ascii="Arial;sans-serif" w:hAnsi="Arial;sans-serif"/>
          <w:b/>
          <w:color w:val="000000"/>
          <w:sz w:val="24"/>
        </w:rPr>
        <w:t>Date of Report (Date of earliest event reported) August 5, 2026 (August 5, 2026)</w:t>
      </w:r>
    </w:p>
    <w:p>
      <w:pPr>
        <w:pStyle w:val="TextBody"/>
        <w:bidi w:val="0"/>
        <w:spacing w:lineRule="auto" w:line="288" w:before="120" w:after="283"/>
        <w:jc w:val="center"/>
        <w:rPr>
          <w:rFonts w:ascii="Arial;sans-serif" w:hAnsi="Arial;sans-serif"/>
          <w:b/>
          <w:color w:val="000000"/>
          <w:sz w:val="40"/>
        </w:rPr>
      </w:pPr>
      <w:r>
        <w:rPr>
          <w:rFonts w:ascii="Arial;sans-serif" w:hAnsi="Arial;sans-serif"/>
          <w:b/>
          <w:color w:val="000000"/>
          <w:sz w:val="40"/>
        </w:rPr>
        <w:t xml:space="preserve">GIBRALTAR INDUSTRIES, INC. </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(Exact name of registrant as specified in its charter)</w:t>
      </w:r>
    </w:p>
    <w:tbl>
      <w:tblPr>
        <w:tblW w:w="9562" w:type="dxa"/>
        <w:jc w:val="center"/>
        <w:tblInd w:w="0" w:type="dxa"/>
        <w:tblLayout w:type="fixed"/>
        <w:tblCellMar>
          <w:top w:w="28" w:type="dxa"/>
          <w:left w:w="28" w:type="dxa"/>
          <w:bottom w:w="28" w:type="dxa"/>
          <w:right w:w="28" w:type="dxa"/>
        </w:tblCellMar>
      </w:tblPr>
      <w:tblGrid>
        <w:gridCol w:w="1032"/>
        <w:gridCol w:w="906"/>
        <w:gridCol w:w="912"/>
        <w:gridCol w:w="109"/>
        <w:gridCol w:w="109"/>
        <w:gridCol w:w="109"/>
        <w:gridCol w:w="902"/>
        <w:gridCol w:w="902"/>
        <w:gridCol w:w="910"/>
        <w:gridCol w:w="109"/>
        <w:gridCol w:w="109"/>
        <w:gridCol w:w="109"/>
        <w:gridCol w:w="980"/>
        <w:gridCol w:w="980"/>
        <w:gridCol w:w="1384"/>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000-22462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16-1445150</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(State or other jurisdiction of</w:t>
              <w:br/>
              <w:t> incorporation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(IRS Employer Identification No.)</w:t>
            </w:r>
          </w:p>
        </w:tc>
      </w:tr>
    </w:tbl>
    <w:p>
      <w:pPr>
        <w:pStyle w:val="TextBody"/>
        <w:bidi w:val="0"/>
        <w:spacing w:lineRule="auto" w:line="288" w:before="160" w:after="283"/>
        <w:jc w:val="center"/>
        <w:rPr>
          <w:rFonts w:ascii="Arial;sans-serif" w:hAnsi="Arial;sans-serif"/>
          <w:b w:val="false"/>
          <w:color w:val="000000"/>
          <w:sz w:val="24"/>
        </w:rPr>
      </w:pPr>
      <w:r>
        <w:rPr>
          <w:rFonts w:ascii="Arial;sans-serif" w:hAnsi="Arial;sans-serif"/>
          <w:b w:val="false"/>
          <w:color w:val="000000"/>
          <w:sz w:val="24"/>
        </w:rPr>
        <w:t xml:space="preserve">3556 Lake Shore Road </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 xml:space="preserve">P.O. Box 2028 </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 xml:space="preserve">Buffalo, New York 14219-0228 </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(Address of principal executive offices) (Zip Code)</w:t>
      </w:r>
    </w:p>
    <w:p>
      <w:pPr>
        <w:pStyle w:val="TextBody"/>
        <w:bidi w:val="0"/>
        <w:spacing w:lineRule="auto" w:line="288" w:before="260" w:after="283"/>
        <w:jc w:val="center"/>
        <w:rPr>
          <w:rFonts w:ascii="Arial;sans-serif" w:hAnsi="Arial;sans-serif"/>
          <w:b w:val="false"/>
          <w:color w:val="000000"/>
          <w:sz w:val="24"/>
        </w:rPr>
      </w:pPr>
      <w:r>
        <w:rPr>
          <w:rFonts w:ascii="Arial;sans-serif" w:hAnsi="Arial;sans-serif"/>
          <w:b w:val="false"/>
          <w:color w:val="000000"/>
          <w:sz w:val="24"/>
        </w:rPr>
        <w:t xml:space="preserve">(716) 826-6500 </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(Registrant’s telephone number, including area code)</w:t>
      </w:r>
    </w:p>
    <w:p>
      <w:pPr>
        <w:pStyle w:val="TextBody"/>
        <w:bidi w:val="0"/>
        <w:spacing w:lineRule="auto" w:line="288" w:before="140" w:after="283"/>
        <w:jc w:val="left"/>
        <w:rPr>
          <w:rFonts w:ascii="Arial;sans-serif" w:hAnsi="Arial;sans-serif"/>
          <w:b w:val="false"/>
          <w:color w:val="000000"/>
          <w:sz w:val="22"/>
        </w:rPr>
      </w:pPr>
      <w:r>
        <w:rPr>
          <w:rFonts w:ascii="Arial;sans-serif" w:hAnsi="Arial;sans-serif"/>
          <w:b w:val="false"/>
          <w:color w:val="000000"/>
          <w:sz w:val="22"/>
        </w:rPr>
        <w:t>Check the appropriate box below if the Form 8-K filing is intended to simultaneously satisfy the filing obligation of the registrant under any of the following provisions:</w:t>
      </w:r>
    </w:p>
    <w:p>
      <w:pPr>
        <w:pStyle w:val="TextBody"/>
        <w:bidi w:val="0"/>
        <w:spacing w:lineRule="auto" w:line="288" w:before="140" w:after="283"/>
        <w:jc w:val="left"/>
        <w:rPr/>
      </w:pPr>
      <w:r>
        <w:rPr>
          <w:color w:val="000000"/>
        </w:rPr>
        <w:t>☐     </w:t>
      </w:r>
      <w:r>
        <w:rPr>
          <w:rFonts w:ascii="Arial;sans-serif" w:hAnsi="Arial;sans-serif"/>
          <w:b w:val="false"/>
          <w:color w:val="000000"/>
          <w:sz w:val="22"/>
        </w:rPr>
        <w:t>Written communications pursuant to Rule 425 under the Securities Act (17 CFR 230.425)</w:t>
      </w:r>
    </w:p>
    <w:p>
      <w:pPr>
        <w:pStyle w:val="TextBody"/>
        <w:bidi w:val="0"/>
        <w:spacing w:lineRule="auto" w:line="288" w:before="140" w:after="283"/>
        <w:jc w:val="left"/>
        <w:rPr/>
      </w:pPr>
      <w:r>
        <w:rPr>
          <w:color w:val="000000"/>
        </w:rPr>
        <w:t>☐     </w:t>
      </w:r>
      <w:r>
        <w:rPr>
          <w:rFonts w:ascii="Arial;sans-serif" w:hAnsi="Arial;sans-serif"/>
          <w:b w:val="false"/>
          <w:color w:val="000000"/>
          <w:sz w:val="22"/>
        </w:rPr>
        <w:t>Soliciting material pursuant to Rule 14a-12 under the Exchange Act (17 CFR 240.14a-12)</w:t>
      </w:r>
    </w:p>
    <w:p>
      <w:pPr>
        <w:pStyle w:val="TextBody"/>
        <w:bidi w:val="0"/>
        <w:spacing w:lineRule="auto" w:line="288" w:before="140" w:after="283"/>
        <w:jc w:val="left"/>
        <w:rPr/>
      </w:pPr>
      <w:r>
        <w:rPr>
          <w:color w:val="000000"/>
        </w:rPr>
        <w:t>☐     </w:t>
      </w:r>
      <w:r>
        <w:rPr>
          <w:rFonts w:ascii="Arial;sans-serif" w:hAnsi="Arial;sans-serif"/>
          <w:b w:val="false"/>
          <w:color w:val="000000"/>
          <w:sz w:val="22"/>
        </w:rPr>
        <w:t>Pre-commencement communications pursuant to Rule 14d-2(b) under the Exchange Act (17 CFR 240.14d-2(b))</w:t>
      </w:r>
    </w:p>
    <w:p>
      <w:pPr>
        <w:pStyle w:val="TextBody"/>
        <w:bidi w:val="0"/>
        <w:spacing w:lineRule="auto" w:line="288" w:before="140" w:after="283"/>
        <w:jc w:val="left"/>
        <w:rPr/>
      </w:pPr>
      <w:r>
        <w:rPr>
          <w:color w:val="000000"/>
        </w:rPr>
        <w:t>☐     </w:t>
      </w:r>
      <w:r>
        <w:rPr>
          <w:rFonts w:ascii="Arial;sans-serif" w:hAnsi="Arial;sans-serif"/>
          <w:b w:val="false"/>
          <w:color w:val="000000"/>
          <w:sz w:val="22"/>
        </w:rPr>
        <w:t>Pre-commencement communications pursuant to Rule 13e-4(c) under the Exchange Act (17 CFR 240.13e-4(c))</w:t>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434"/>
        <w:gridCol w:w="1191"/>
        <w:gridCol w:w="1203"/>
        <w:gridCol w:w="109"/>
        <w:gridCol w:w="109"/>
        <w:gridCol w:w="109"/>
        <w:gridCol w:w="535"/>
        <w:gridCol w:w="535"/>
        <w:gridCol w:w="537"/>
        <w:gridCol w:w="109"/>
        <w:gridCol w:w="109"/>
        <w:gridCol w:w="109"/>
        <w:gridCol w:w="1204"/>
        <w:gridCol w:w="1204"/>
        <w:gridCol w:w="1708"/>
      </w:tblGrid>
      <w:tr>
        <w:trPr/>
        <w:tc>
          <w:tcPr>
            <w:tcW w:w="143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r>
      <w:tr>
        <w:trPr/>
        <w:tc>
          <w:tcPr>
            <w:tcW w:w="3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Name of each exchange on which registered</w:t>
            </w:r>
          </w:p>
        </w:tc>
      </w:tr>
      <w:tr>
        <w:trPr/>
        <w:tc>
          <w:tcPr>
            <w:tcW w:w="3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ROCK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The NASDAQ Stock Market LLC</w:t>
            </w:r>
          </w:p>
        </w:tc>
      </w:tr>
    </w:tbl>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00" w:after="100"/>
        <w:jc w:val="left"/>
        <w:rPr/>
      </w:pPr>
      <w:r>
        <w:rPr>
          <w:rFonts w:ascii="Arial;sans-serif" w:hAnsi="Arial;sans-serif"/>
          <w:b w:val="false"/>
          <w:color w:val="000000"/>
          <w:sz w:val="22"/>
        </w:rPr>
        <w:t xml:space="preserve">Emerging growth company </w:t>
      </w:r>
      <w:r>
        <w:rPr>
          <w:color w:val="000000"/>
        </w:rPr>
        <w:t xml:space="preserve">☐ </w:t>
      </w:r>
    </w:p>
    <w:p>
      <w:pPr>
        <w:pStyle w:val="TextBody"/>
        <w:bidi w:val="0"/>
        <w:spacing w:lineRule="auto" w:line="288" w:before="100" w:after="100"/>
        <w:jc w:val="left"/>
        <w:rPr/>
      </w:pPr>
      <w:r>
        <w:rPr>
          <w:rFonts w:ascii="Arial;sans-serif" w:hAnsi="Arial;sans-serif"/>
          <w:b w:val="false"/>
          <w:color w:val="000000"/>
          <w:sz w:val="22"/>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100" w:after="10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132" w:after="100"/>
        <w:jc w:val="both"/>
        <w:rPr>
          <w:rFonts w:ascii="Arial;sans-serif" w:hAnsi="Arial;sans-serif"/>
          <w:b w:val="false"/>
          <w:color w:val="000000"/>
          <w:sz w:val="20"/>
        </w:rPr>
      </w:pPr>
      <w:r>
        <w:rPr>
          <w:rFonts w:ascii="Arial;sans-serif" w:hAnsi="Arial;sans-serif"/>
          <w:b w:val="false"/>
          <w:color w:val="000000"/>
          <w:sz w:val="20"/>
        </w:rPr>
        <w:t>The following information is furnished pursuant to Item 2.02:</w:t>
      </w:r>
    </w:p>
    <w:p>
      <w:pPr>
        <w:pStyle w:val="TextBody"/>
        <w:bidi w:val="0"/>
        <w:spacing w:lineRule="auto" w:line="288" w:before="132" w:after="283"/>
        <w:jc w:val="both"/>
        <w:rPr/>
      </w:pPr>
      <w:r>
        <w:rPr>
          <w:rFonts w:ascii="Arial;sans-serif" w:hAnsi="Arial;sans-serif"/>
          <w:b w:val="false"/>
          <w:color w:val="000000"/>
          <w:sz w:val="20"/>
        </w:rPr>
        <w:t xml:space="preserve">On August 5, 2026, Gibraltar Industries, Inc. (the “Company”) issued a news release and will hold a conference call regarding financial results for the three and six months ended June 30, 2026. A copy of the news release (the “Release”) is furnished herewith as </w:t>
      </w:r>
      <w:hyperlink w:anchor="exhibit991q22026earningsre.htm">
        <w:r>
          <w:rPr>
            <w:rStyle w:val="InternetLink"/>
            <w:rFonts w:ascii="Arial;sans-serif" w:hAnsi="Arial;sans-serif"/>
            <w:b w:val="false"/>
            <w:color w:val="0000FF"/>
            <w:sz w:val="20"/>
            <w:u w:val="single"/>
          </w:rPr>
          <w:t>Exhibit 99.1</w:t>
        </w:r>
      </w:hyperlink>
      <w:r>
        <w:rPr>
          <w:color w:val="000000"/>
        </w:rPr>
        <w:t xml:space="preserve"> </w:t>
      </w:r>
      <w:r>
        <w:rPr>
          <w:rFonts w:ascii="Arial;sans-serif" w:hAnsi="Arial;sans-serif"/>
          <w:b w:val="false"/>
          <w:color w:val="000000"/>
          <w:sz w:val="20"/>
        </w:rPr>
        <w:t>and is incorporated herein by reference.</w:t>
      </w:r>
    </w:p>
    <w:p>
      <w:pPr>
        <w:pStyle w:val="TextBody"/>
        <w:bidi w:val="0"/>
        <w:spacing w:lineRule="auto" w:line="288" w:before="132" w:after="283"/>
        <w:jc w:val="both"/>
        <w:rPr>
          <w:rFonts w:ascii="Arial;sans-serif" w:hAnsi="Arial;sans-serif"/>
          <w:b w:val="false"/>
          <w:color w:val="000000"/>
          <w:sz w:val="20"/>
        </w:rPr>
      </w:pPr>
      <w:r>
        <w:rPr>
          <w:rFonts w:ascii="Arial;sans-serif" w:hAnsi="Arial;sans-serif"/>
          <w:b w:val="false"/>
          <w:color w:val="000000"/>
          <w:sz w:val="20"/>
        </w:rPr>
        <w:t>The information in this Form 8-K under the caption Item 2.02, including the Release, shall not be deemed “filed” for purposes of Section 18 of the Securities Exchange Act of 1934, as amended (the “Exchange Act”) or otherwise subject to liabilities under that Section and shall not be deemed to be incorporated by reference into any filing of the Company under the Securities Act of 1933, as amended (the “Securities Act”) or the Exchange Act, unless the Company specifically incorporates it by reference in a document filed under the Securities Act or the Exchange Act.</w:t>
      </w:r>
    </w:p>
    <w:p>
      <w:pPr>
        <w:pStyle w:val="TextBody"/>
        <w:bidi w:val="0"/>
        <w:spacing w:before="132" w:after="283"/>
        <w:jc w:val="both"/>
        <w:rPr/>
      </w:pPr>
      <w:r>
        <w:rPr/>
      </w:r>
    </w:p>
    <w:p>
      <w:pPr>
        <w:pStyle w:val="TextBody"/>
        <w:bidi w:val="0"/>
        <w:spacing w:lineRule="auto" w:line="288" w:before="132" w:after="283"/>
        <w:jc w:val="both"/>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140" w:after="283"/>
        <w:jc w:val="left"/>
        <w:rPr>
          <w:color w:val="000000"/>
        </w:rPr>
      </w:pPr>
      <w:r>
        <w:rPr>
          <w:color w:val="000000"/>
        </w:rPr>
        <w:t>    </w:t>
      </w:r>
      <w:r>
        <w:rPr>
          <w:rFonts w:ascii="Arial;sans-serif" w:hAnsi="Arial;sans-serif"/>
          <w:b w:val="false"/>
          <w:color w:val="000000"/>
          <w:sz w:val="20"/>
        </w:rPr>
        <w:t>(a)-(c)    Not Applicable</w:t>
      </w:r>
    </w:p>
    <w:p>
      <w:pPr>
        <w:pStyle w:val="TextBody"/>
        <w:bidi w:val="0"/>
        <w:spacing w:lineRule="auto" w:line="288" w:before="140" w:after="283"/>
        <w:jc w:val="left"/>
        <w:rPr>
          <w:color w:val="000000"/>
        </w:rPr>
      </w:pPr>
      <w:r>
        <w:rPr>
          <w:color w:val="000000"/>
        </w:rPr>
        <w:t>    </w:t>
      </w:r>
      <w:r>
        <w:rPr>
          <w:rFonts w:ascii="Arial;sans-serif" w:hAnsi="Arial;sans-serif"/>
          <w:b w:val="false"/>
          <w:color w:val="000000"/>
          <w:sz w:val="20"/>
        </w:rPr>
        <w:t>(d)    Exhibits:</w:t>
      </w:r>
    </w:p>
    <w:tbl>
      <w:tblPr>
        <w:tblW w:w="8217" w:type="dxa"/>
        <w:jc w:val="center"/>
        <w:tblInd w:w="0" w:type="dxa"/>
        <w:tblLayout w:type="fixed"/>
        <w:tblCellMar>
          <w:top w:w="28" w:type="dxa"/>
          <w:left w:w="28" w:type="dxa"/>
          <w:bottom w:w="28" w:type="dxa"/>
          <w:right w:w="28" w:type="dxa"/>
        </w:tblCellMar>
      </w:tblPr>
      <w:tblGrid>
        <w:gridCol w:w="391"/>
        <w:gridCol w:w="343"/>
        <w:gridCol w:w="346"/>
        <w:gridCol w:w="109"/>
        <w:gridCol w:w="109"/>
        <w:gridCol w:w="109"/>
        <w:gridCol w:w="1990"/>
        <w:gridCol w:w="1990"/>
        <w:gridCol w:w="2830"/>
      </w:tblGrid>
      <w:tr>
        <w:trPr/>
        <w:tc>
          <w:tcPr>
            <w:tcW w:w="3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991q22026earningsre.htm">
              <w:r>
                <w:rPr>
                  <w:rStyle w:val="InternetLink"/>
                  <w:rFonts w:ascii="Arial;sans-serif" w:hAnsi="Arial;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q22026earningsre.htm">
              <w:r>
                <w:rPr>
                  <w:rStyle w:val="InternetLink"/>
                  <w:rFonts w:ascii="Arial;sans-serif" w:hAnsi="Arial;sans-serif"/>
                  <w:b w:val="false"/>
                  <w:color w:val="000080"/>
                  <w:sz w:val="20"/>
                  <w:u w:val="single"/>
                </w:rPr>
                <w:t xml:space="preserve">Earnings Release issued by Gibraltar Industries, Inc. on </w:t>
              </w:r>
            </w:hyperlink>
            <w:hyperlink w:anchor="exhibit991q22026earningsre.htm">
              <w:r>
                <w:rPr>
                  <w:rStyle w:val="InternetLink"/>
                  <w:rFonts w:ascii="Arial;sans-serif" w:hAnsi="Arial;sans-serif"/>
                  <w:b w:val="false"/>
                  <w:color w:val="000080"/>
                  <w:sz w:val="20"/>
                  <w:u w:val="single"/>
                </w:rPr>
                <w:t>August 5,</w:t>
              </w:r>
            </w:hyperlink>
            <w:hyperlink w:anchor="exhibit991q22026earningsre.htm">
              <w:r>
                <w:rPr>
                  <w:rStyle w:val="InternetLink"/>
                  <w:rFonts w:ascii="Arial;sans-serif" w:hAnsi="Arial;sans-serif"/>
                  <w:b w:val="false"/>
                  <w:color w:val="000080"/>
                  <w:sz w:val="20"/>
                  <w:u w:val="single"/>
                </w:rPr>
                <w:t xml:space="preserve">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Cover Page Interactive Data File (embedded with the Inline XBRL document)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6763" w:type="dxa"/>
        <w:jc w:val="left"/>
        <w:tblInd w:w="0" w:type="dxa"/>
        <w:tblLayout w:type="fixed"/>
        <w:tblCellMar>
          <w:top w:w="28" w:type="dxa"/>
          <w:left w:w="28" w:type="dxa"/>
          <w:bottom w:w="28" w:type="dxa"/>
          <w:right w:w="28" w:type="dxa"/>
        </w:tblCellMar>
      </w:tblPr>
      <w:tblGrid>
        <w:gridCol w:w="211"/>
        <w:gridCol w:w="186"/>
        <w:gridCol w:w="188"/>
        <w:gridCol w:w="474"/>
        <w:gridCol w:w="474"/>
        <w:gridCol w:w="476"/>
        <w:gridCol w:w="321"/>
        <w:gridCol w:w="321"/>
        <w:gridCol w:w="321"/>
        <w:gridCol w:w="589"/>
        <w:gridCol w:w="589"/>
        <w:gridCol w:w="589"/>
        <w:gridCol w:w="589"/>
        <w:gridCol w:w="589"/>
        <w:gridCol w:w="846"/>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GIBRALTAR INDUSTRIES, INC.</w:t>
            </w:r>
          </w:p>
          <w:p>
            <w:pPr>
              <w:pStyle w:val="TableContents"/>
              <w:bidi w:val="0"/>
              <w:spacing w:lineRule="auto" w:line="240" w:before="0" w:after="0"/>
              <w:jc w:val="left"/>
              <w:rPr>
                <w:color w:val="000000"/>
              </w:rPr>
            </w:pPr>
            <w:r>
              <w:rPr>
                <w:color w:val="000000"/>
              </w:rPr>
              <w:t>  </w:t>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5, 2026</w:t>
            </w:r>
          </w:p>
        </w:tc>
        <w:tc>
          <w:tcPr>
            <w:tcW w:w="475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79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Joseph A. Lovechio</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Joseph A. Lovechio</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240"/>
        <w:jc w:val="right"/>
        <w:rPr/>
      </w:pPr>
      <w:r>
        <w:rPr/>
        <w:drawing>
          <wp:inline distT="0" distB="0" distL="0" distR="0">
            <wp:extent cx="2371725" cy="3048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371725" cy="304800"/>
                    </a:xfrm>
                    <a:prstGeom prst="rect">
                      <a:avLst/>
                    </a:prstGeom>
                  </pic:spPr>
                </pic:pic>
              </a:graphicData>
            </a:graphic>
          </wp:inline>
        </w:drawing>
      </w:r>
    </w:p>
    <w:p>
      <w:pPr>
        <w:pStyle w:val="TextBody"/>
        <w:bidi w:val="0"/>
        <w:spacing w:before="0" w:after="120"/>
        <w:jc w:val="right"/>
        <w:rPr/>
      </w:pPr>
      <w:r>
        <w:rPr/>
      </w:r>
    </w:p>
    <w:p>
      <w:pPr>
        <w:pStyle w:val="TextBody"/>
        <w:bidi w:val="0"/>
        <w:spacing w:before="0" w:after="120"/>
        <w:jc w:val="right"/>
        <w:rPr/>
      </w:pPr>
      <w:r>
        <w:rPr/>
      </w:r>
    </w:p>
    <w:p>
      <w:pPr>
        <w:pStyle w:val="TextBody"/>
        <w:bidi w:val="0"/>
        <w:spacing w:lineRule="auto" w:line="333" w:before="0" w:after="0"/>
        <w:jc w:val="center"/>
        <w:rPr>
          <w:rFonts w:ascii="Arial;sans-serif" w:hAnsi="Arial;sans-serif"/>
          <w:b/>
          <w:color w:val="000000"/>
          <w:sz w:val="32"/>
        </w:rPr>
      </w:pPr>
      <w:r>
        <w:rPr>
          <w:rFonts w:ascii="Arial;sans-serif" w:hAnsi="Arial;sans-serif"/>
          <w:b/>
          <w:color w:val="000000"/>
          <w:sz w:val="32"/>
        </w:rPr>
        <w:t xml:space="preserve">Gibraltar Reports Second Quarter 2026 Results </w:t>
      </w:r>
    </w:p>
    <w:p>
      <w:pPr>
        <w:pStyle w:val="TextBody"/>
        <w:bidi w:val="0"/>
        <w:spacing w:lineRule="auto" w:line="333" w:before="120" w:after="283"/>
        <w:jc w:val="center"/>
        <w:rPr>
          <w:rFonts w:ascii="Arial;sans-serif" w:hAnsi="Arial;sans-serif"/>
          <w:b w:val="false"/>
          <w:i/>
          <w:color w:val="000000"/>
          <w:sz w:val="24"/>
        </w:rPr>
      </w:pPr>
      <w:r>
        <w:rPr>
          <w:rFonts w:ascii="Arial;sans-serif" w:hAnsi="Arial;sans-serif"/>
          <w:b w:val="false"/>
          <w:i/>
          <w:color w:val="000000"/>
          <w:sz w:val="24"/>
        </w:rPr>
        <w:t>Continuing Operations Net Sales +65%; with Organic Growth +5% Driven By Residential</w:t>
      </w:r>
    </w:p>
    <w:p>
      <w:pPr>
        <w:pStyle w:val="TextBody"/>
        <w:bidi w:val="0"/>
        <w:spacing w:lineRule="auto" w:line="333" w:before="120" w:after="283"/>
        <w:jc w:val="center"/>
        <w:rPr>
          <w:rFonts w:ascii="Arial;sans-serif" w:hAnsi="Arial;sans-serif"/>
          <w:b w:val="false"/>
          <w:i/>
          <w:color w:val="000000"/>
          <w:sz w:val="24"/>
        </w:rPr>
      </w:pPr>
      <w:r>
        <w:rPr>
          <w:rFonts w:ascii="Arial;sans-serif" w:hAnsi="Arial;sans-serif"/>
          <w:b w:val="false"/>
          <w:i/>
          <w:color w:val="000000"/>
          <w:sz w:val="24"/>
        </w:rPr>
        <w:t xml:space="preserve">Continuing Operations EPS: GAAP $0.92, Adjusted $1.11 </w:t>
      </w:r>
    </w:p>
    <w:p>
      <w:pPr>
        <w:pStyle w:val="TextBody"/>
        <w:bidi w:val="0"/>
        <w:spacing w:lineRule="auto" w:line="333" w:before="120" w:after="283"/>
        <w:jc w:val="center"/>
        <w:rPr>
          <w:rFonts w:ascii="Arial;sans-serif" w:hAnsi="Arial;sans-serif"/>
          <w:b w:val="false"/>
          <w:i/>
          <w:color w:val="000000"/>
          <w:sz w:val="24"/>
        </w:rPr>
      </w:pPr>
      <w:r>
        <w:rPr>
          <w:rFonts w:ascii="Arial;sans-serif" w:hAnsi="Arial;sans-serif"/>
          <w:b w:val="false"/>
          <w:i/>
          <w:color w:val="000000"/>
          <w:sz w:val="24"/>
        </w:rPr>
        <w:t>OmniMax integration on track; Reiterating full year 2026 guidance</w:t>
      </w:r>
    </w:p>
    <w:p>
      <w:pPr>
        <w:pStyle w:val="TextBody"/>
        <w:bidi w:val="0"/>
        <w:spacing w:before="0" w:after="0"/>
        <w:jc w:val="both"/>
        <w:rPr/>
      </w:pPr>
      <w:r>
        <w:rPr/>
      </w:r>
    </w:p>
    <w:p>
      <w:pPr>
        <w:pStyle w:val="TextBody"/>
        <w:bidi w:val="0"/>
        <w:spacing w:lineRule="auto" w:line="288" w:before="120" w:after="120"/>
        <w:jc w:val="both"/>
        <w:rPr/>
      </w:pPr>
      <w:r>
        <w:rPr>
          <w:rFonts w:ascii="Arial;sans-serif" w:hAnsi="Arial;sans-serif"/>
          <w:b/>
          <w:color w:val="000000"/>
          <w:sz w:val="22"/>
        </w:rPr>
        <w:t>Buffalo, New York, August 5, 2026</w:t>
      </w:r>
      <w:r>
        <w:rPr>
          <w:color w:val="000000"/>
        </w:rPr>
        <w:t xml:space="preserve"> – </w:t>
      </w:r>
      <w:r>
        <w:rPr>
          <w:rFonts w:ascii="Arial;sans-serif" w:hAnsi="Arial;sans-serif"/>
          <w:b w:val="false"/>
          <w:color w:val="000000"/>
          <w:sz w:val="22"/>
        </w:rPr>
        <w:t xml:space="preserve">Gibraltar Industries, Inc. (Nasdaq: ROCK), a leading manufacturer and provider of products and services for the residential, agtech, and infrastructure markets, today reported its financial results for the three-month and six-month period ended June 30, 2026. </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As a reminder, Gibraltar reclassified its Renewables business as discontinued operations on June 30, 2025. Subsequently, the electrical balance-of-systems (eBOS) and racking and foundations businesses were sold on February 20, and July 15, 2026, respectively, completing Gibraltar’s divestiture of Renewables.</w:t>
      </w:r>
    </w:p>
    <w:p>
      <w:pPr>
        <w:pStyle w:val="TextBody"/>
        <w:bidi w:val="0"/>
        <w:spacing w:lineRule="auto" w:line="288" w:before="120" w:after="120"/>
        <w:jc w:val="both"/>
        <w:rPr>
          <w:color w:val="000000"/>
        </w:rPr>
      </w:pPr>
      <w:r>
        <w:rPr>
          <w:color w:val="000000"/>
        </w:rPr>
        <w:t>“</w:t>
      </w:r>
      <w:r>
        <w:rPr>
          <w:rFonts w:ascii="Arial;sans-serif" w:hAnsi="Arial;sans-serif"/>
          <w:b w:val="false"/>
          <w:color w:val="000000"/>
          <w:sz w:val="22"/>
        </w:rPr>
        <w:t>We delivered solid second quarter results with our Residential business driving good organic growth and participation gains in a flat-to-down market. Our building products business grew 12.7% organically - if you assume we owned OmniMax in Q2 2025, the combined business actually grew 15.5%, showing the strength of this combination in the marketplace. In line with our long-term strategic plan, our Residential business overall continues to become a larger part of our portfolio and represented 83% of total revenue in the quarter, with segment EBITDA margin improving sequentially 340 basis points to 19.0%. OmniMax integration continues to accelerate as our leadership team and integration management office drive our top 11 critical workstreams and synergy capture. We are also excited to announce we were recently awarded an additional 630 locations now making us the supplier of trims and flashings to more than 1,700 locations across the country for one of our customers – validating our ability to support our customers locally on a national basis with a value proposition that makes sense for them. We believe the addition of OmniMax to our product portfolio was instrumental in receiving this award,” stated Chairman and CEO Bill Bosway.</w:t>
      </w:r>
    </w:p>
    <w:p>
      <w:pPr>
        <w:pStyle w:val="TextBody"/>
        <w:bidi w:val="0"/>
        <w:spacing w:lineRule="auto" w:line="288" w:before="120" w:after="120"/>
        <w:jc w:val="both"/>
        <w:rPr>
          <w:color w:val="000000"/>
        </w:rPr>
      </w:pPr>
      <w:r>
        <w:rPr>
          <w:color w:val="000000"/>
        </w:rPr>
        <w:t>“</w:t>
      </w:r>
      <w:r>
        <w:rPr>
          <w:rFonts w:ascii="Arial;sans-serif" w:hAnsi="Arial;sans-serif"/>
          <w:b w:val="false"/>
          <w:color w:val="000000"/>
          <w:sz w:val="22"/>
        </w:rPr>
        <w:t xml:space="preserve">Including a full quarter of OmniMax, total Gibraltar net sales increased 64.6% on organic growth of 5%, adjusted EBITDA increased 59.7%, and we delivered adjusted EPS of $1.11. As expected, we generated cash in our continuing operations during the quarter.” </w:t>
      </w: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Second Quarter 2026 Results from Continuing Operations</w:t>
      </w:r>
    </w:p>
    <w:tbl>
      <w:tblPr>
        <w:tblW w:w="6298" w:type="dxa"/>
        <w:jc w:val="left"/>
        <w:tblInd w:w="0" w:type="dxa"/>
        <w:tblLayout w:type="fixed"/>
        <w:tblCellMar>
          <w:top w:w="28" w:type="dxa"/>
          <w:left w:w="28" w:type="dxa"/>
          <w:bottom w:w="28" w:type="dxa"/>
          <w:right w:w="28" w:type="dxa"/>
        </w:tblCellMar>
      </w:tblPr>
      <w:tblGrid>
        <w:gridCol w:w="1322"/>
        <w:gridCol w:w="1161"/>
        <w:gridCol w:w="1161"/>
        <w:gridCol w:w="322"/>
        <w:gridCol w:w="300"/>
        <w:gridCol w:w="247"/>
        <w:gridCol w:w="322"/>
        <w:gridCol w:w="300"/>
        <w:gridCol w:w="247"/>
        <w:gridCol w:w="268"/>
        <w:gridCol w:w="268"/>
        <w:gridCol w:w="380"/>
      </w:tblGrid>
      <w:tr>
        <w:trPr/>
        <w:tc>
          <w:tcPr>
            <w:tcW w:w="1322"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6298" w:type="dxa"/>
            <w:gridSpan w:val="1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Three Months Ended June 30,</w:t>
            </w:r>
          </w:p>
        </w:tc>
      </w:tr>
      <w:tr>
        <w:trPr/>
        <w:tc>
          <w:tcPr>
            <w:tcW w:w="36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u w:val="single"/>
              </w:rPr>
            </w:pPr>
            <w:r>
              <w:rPr>
                <w:rFonts w:ascii="Arial;sans-serif" w:hAnsi="Arial;sans-serif"/>
                <w:b w:val="false"/>
                <w:color w:val="000000"/>
                <w:sz w:val="22"/>
                <w:u w:val="single"/>
              </w:rPr>
              <w:t>2026</w:t>
            </w:r>
          </w:p>
        </w:tc>
        <w:tc>
          <w:tcPr>
            <w:tcW w:w="8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u w:val="single"/>
              </w:rPr>
            </w:pPr>
            <w:r>
              <w:rPr>
                <w:rFonts w:ascii="Arial;sans-serif" w:hAnsi="Arial;sans-serif"/>
                <w:b w:val="false"/>
                <w:color w:val="000000"/>
                <w:sz w:val="22"/>
                <w:u w:val="single"/>
              </w:rPr>
              <w:t>2025</w:t>
            </w:r>
          </w:p>
        </w:tc>
        <w:tc>
          <w:tcPr>
            <w:tcW w:w="9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u w:val="single"/>
              </w:rPr>
            </w:pPr>
            <w:r>
              <w:rPr>
                <w:rFonts w:ascii="Arial;sans-serif" w:hAnsi="Arial;sans-serif"/>
                <w:b w:val="false"/>
                <w:color w:val="000000"/>
                <w:sz w:val="22"/>
                <w:u w:val="single"/>
              </w:rPr>
              <w:t>Change</w:t>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Sales</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$509.5</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$309.5</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64.6%</w:t>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 xml:space="preserve">Net Income </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$27.3</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$29.4</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(7.1)%</w:t>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Adjusted Net Income</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$33.0</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$33.6</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(1.8)%</w:t>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Adjusted EBITDA</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$88.0</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$55.1</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59.7%</w:t>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GAAP Earnings Per Share – Diluted</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$0.92</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$0.99</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(7.1)%</w:t>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Adjusted EPS – Diluted</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$1.11</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$1.13</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(1.8)%</w:t>
            </w:r>
          </w:p>
        </w:tc>
      </w:tr>
    </w:tbl>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drawing>
          <wp:inline distT="0" distB="0" distL="0" distR="0">
            <wp:extent cx="2371725" cy="3048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2371725" cy="304800"/>
                    </a:xfrm>
                    <a:prstGeom prst="rect">
                      <a:avLst/>
                    </a:prstGeom>
                  </pic:spPr>
                </pic:pic>
              </a:graphicData>
            </a:graphic>
          </wp:inline>
        </w:drawing>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Net Sales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Driven primarily by the OmniMax acquisition as well as by organic growth in Residential and Agtech segments</w:t>
      </w:r>
    </w:p>
    <w:p>
      <w:pPr>
        <w:pStyle w:val="TextBody"/>
        <w:bidi w:val="0"/>
        <w:spacing w:lineRule="auto" w:line="288" w:before="120" w:after="283"/>
        <w:jc w:val="both"/>
        <w:rPr>
          <w:rFonts w:ascii="Arial;sans-serif" w:hAnsi="Arial;sans-serif"/>
          <w:b/>
          <w:color w:val="000000"/>
          <w:sz w:val="22"/>
          <w:u w:val="single"/>
        </w:rPr>
      </w:pPr>
      <w:r>
        <w:rPr>
          <w:rFonts w:ascii="Arial;sans-serif" w:hAnsi="Arial;sans-serif"/>
          <w:b/>
          <w:color w:val="000000"/>
          <w:sz w:val="22"/>
          <w:u w:val="single"/>
        </w:rPr>
        <w:t>GAAP Income / EPS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 xml:space="preserve">Includes pretax expenses of $5.8 million, or $0.15 per share, related to OmniMax acquisition integration and restructuring costs </w:t>
      </w:r>
    </w:p>
    <w:p>
      <w:pPr>
        <w:pStyle w:val="TextBody"/>
        <w:bidi w:val="0"/>
        <w:spacing w:lineRule="auto" w:line="288" w:before="120" w:after="283"/>
        <w:jc w:val="both"/>
        <w:rPr>
          <w:rFonts w:ascii="Arial;sans-serif" w:hAnsi="Arial;sans-serif"/>
          <w:b/>
          <w:color w:val="000000"/>
          <w:sz w:val="22"/>
          <w:u w:val="single"/>
        </w:rPr>
      </w:pPr>
      <w:r>
        <w:rPr>
          <w:rFonts w:ascii="Arial;sans-serif" w:hAnsi="Arial;sans-serif"/>
          <w:b/>
          <w:color w:val="000000"/>
          <w:sz w:val="22"/>
          <w:u w:val="single"/>
        </w:rPr>
        <w:t xml:space="preserve">Adjusted Net Income / EPS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$33.0 million, or $1.11 per share, including the interest expense impact of $20.6 million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 xml:space="preserve">Price management actions and participation gains offset ongoing commodity and fuel inflation primarily related to ongoing geopolitical issues </w:t>
      </w:r>
    </w:p>
    <w:p>
      <w:pPr>
        <w:pStyle w:val="TextBody"/>
        <w:bidi w:val="0"/>
        <w:spacing w:lineRule="auto" w:line="288" w:before="200" w:after="283"/>
        <w:jc w:val="both"/>
        <w:rPr>
          <w:rFonts w:ascii="Arial;sans-serif" w:hAnsi="Arial;sans-serif"/>
          <w:b w:val="false"/>
          <w:color w:val="000000"/>
          <w:sz w:val="22"/>
        </w:rPr>
      </w:pPr>
      <w:r>
        <w:rPr>
          <w:rFonts w:ascii="Arial;sans-serif" w:hAnsi="Arial;sans-serif"/>
          <w:b w:val="false"/>
          <w:color w:val="000000"/>
          <w:sz w:val="22"/>
        </w:rPr>
        <w:t>Adjusted measures are further described in the appended reconciliation of adjusted financial measures.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 xml:space="preserve">Second Quarter Segment Results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4"/>
          <w:u w:val="single"/>
        </w:rPr>
      </w:pPr>
      <w:r>
        <w:rPr>
          <w:rFonts w:ascii="Arial;sans-serif" w:hAnsi="Arial;sans-serif"/>
          <w:b/>
          <w:i/>
          <w:color w:val="000000"/>
          <w:sz w:val="24"/>
          <w:u w:val="single"/>
        </w:rPr>
        <w:t xml:space="preserve">Residential </w:t>
      </w:r>
    </w:p>
    <w:tbl>
      <w:tblPr>
        <w:tblW w:w="10205" w:type="dxa"/>
        <w:jc w:val="left"/>
        <w:tblInd w:w="0" w:type="dxa"/>
        <w:tblLayout w:type="fixed"/>
        <w:tblCellMar>
          <w:top w:w="28" w:type="dxa"/>
          <w:left w:w="28" w:type="dxa"/>
          <w:bottom w:w="28" w:type="dxa"/>
          <w:right w:w="28" w:type="dxa"/>
        </w:tblCellMar>
      </w:tblPr>
      <w:tblGrid>
        <w:gridCol w:w="665"/>
        <w:gridCol w:w="583"/>
        <w:gridCol w:w="590"/>
        <w:gridCol w:w="429"/>
        <w:gridCol w:w="429"/>
        <w:gridCol w:w="431"/>
        <w:gridCol w:w="429"/>
        <w:gridCol w:w="429"/>
        <w:gridCol w:w="431"/>
        <w:gridCol w:w="342"/>
        <w:gridCol w:w="342"/>
        <w:gridCol w:w="344"/>
        <w:gridCol w:w="524"/>
        <w:gridCol w:w="524"/>
        <w:gridCol w:w="526"/>
        <w:gridCol w:w="524"/>
        <w:gridCol w:w="524"/>
        <w:gridCol w:w="526"/>
        <w:gridCol w:w="342"/>
        <w:gridCol w:w="342"/>
        <w:gridCol w:w="344"/>
        <w:gridCol w:w="167"/>
        <w:gridCol w:w="167"/>
        <w:gridCol w:w="251"/>
      </w:tblGrid>
      <w:tr>
        <w:trPr/>
        <w:tc>
          <w:tcPr>
            <w:tcW w:w="66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i/>
                <w:color w:val="000000"/>
                <w:sz w:val="22"/>
              </w:rPr>
              <w:t>($Millions)</w:t>
            </w:r>
            <w:r>
              <w:rPr>
                <w:color w:val="000000"/>
              </w:rPr>
              <w:t xml:space="preserve"> </w:t>
            </w:r>
            <w:r>
              <w:rPr>
                <w:rFonts w:ascii="Arial;sans-serif" w:hAnsi="Arial;sans-serif"/>
                <w:b w:val="false"/>
                <w:color w:val="000000"/>
                <w:sz w:val="22"/>
              </w:rPr>
              <w:t>Three Months Ended June 30,</w:t>
            </w:r>
          </w:p>
        </w:tc>
      </w:tr>
      <w:tr>
        <w:trPr/>
        <w:tc>
          <w:tcPr>
            <w:tcW w:w="183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2026 GAAP</w:t>
            </w:r>
          </w:p>
        </w:tc>
        <w:tc>
          <w:tcPr>
            <w:tcW w:w="12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2025 GAAP</w:t>
            </w:r>
          </w:p>
        </w:tc>
        <w:tc>
          <w:tcPr>
            <w:tcW w:w="102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Change</w:t>
            </w:r>
          </w:p>
        </w:tc>
        <w:tc>
          <w:tcPr>
            <w:tcW w:w="15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2026 Adjusted</w:t>
            </w:r>
          </w:p>
        </w:tc>
        <w:tc>
          <w:tcPr>
            <w:tcW w:w="15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2025 Adjusted</w:t>
            </w:r>
          </w:p>
        </w:tc>
        <w:tc>
          <w:tcPr>
            <w:tcW w:w="102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Change</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Sales</w:t>
            </w:r>
          </w:p>
        </w:tc>
        <w:tc>
          <w:tcPr>
            <w:tcW w:w="12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$425.9</w:t>
            </w:r>
          </w:p>
        </w:tc>
        <w:tc>
          <w:tcPr>
            <w:tcW w:w="12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$230.3</w:t>
            </w:r>
          </w:p>
        </w:tc>
        <w:tc>
          <w:tcPr>
            <w:tcW w:w="102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84.9%</w:t>
            </w:r>
          </w:p>
        </w:tc>
        <w:tc>
          <w:tcPr>
            <w:tcW w:w="15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$425.9</w:t>
            </w:r>
          </w:p>
        </w:tc>
        <w:tc>
          <w:tcPr>
            <w:tcW w:w="15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$230.3</w:t>
            </w:r>
          </w:p>
        </w:tc>
        <w:tc>
          <w:tcPr>
            <w:tcW w:w="102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84.9%</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Operating Income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$60.5</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$43.6</w:t>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38.8%</w:t>
            </w:r>
          </w:p>
        </w:tc>
        <w:tc>
          <w:tcPr>
            <w:tcW w:w="1574"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$63.6</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$45.0</w:t>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41.3%</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Operating Margin</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14.2%</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18.9%</w:t>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(470) bps</w:t>
            </w:r>
          </w:p>
        </w:tc>
        <w:tc>
          <w:tcPr>
            <w:tcW w:w="1574"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14.9%</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19.5%</w:t>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(460) bps</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EBITDA</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N/A</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N/A</w:t>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N/A</w:t>
            </w:r>
          </w:p>
        </w:tc>
        <w:tc>
          <w:tcPr>
            <w:tcW w:w="1574"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$80.9</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$48.8</w:t>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65.8%</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EBITDA Margin</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N/A</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N/A</w:t>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N/A</w:t>
            </w:r>
          </w:p>
        </w:tc>
        <w:tc>
          <w:tcPr>
            <w:tcW w:w="1574"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19.0%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21.2%</w:t>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(220) bps</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u w:val="single"/>
        </w:rPr>
      </w:pPr>
      <w:r>
        <w:rPr>
          <w:rFonts w:ascii="Arial;sans-serif" w:hAnsi="Arial;sans-serif"/>
          <w:b/>
          <w:color w:val="000000"/>
          <w:sz w:val="22"/>
          <w:u w:val="single"/>
        </w:rPr>
        <w:t>Net Sales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 xml:space="preserve">OmniMax and metal roofing acquisitions contributed $184 million offset by slowness in mail and package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 xml:space="preserve">Building Products organic revenue increased 12.7% - if assumed OmniMax was owned in Q2 2025, the combined business grew 15.5%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Driven by price/mix and participation gains that more than offset a flat-to-down market with new business in the Midwest, Northeast and Texas.    </w:t>
      </w:r>
    </w:p>
    <w:p>
      <w:pPr>
        <w:pStyle w:val="TextBody"/>
        <w:bidi w:val="0"/>
        <w:spacing w:lineRule="auto" w:line="288" w:before="120" w:after="283"/>
        <w:jc w:val="left"/>
        <w:rPr>
          <w:rFonts w:ascii="Arial;sans-serif" w:hAnsi="Arial;sans-serif"/>
          <w:b/>
          <w:color w:val="000000"/>
          <w:sz w:val="22"/>
          <w:u w:val="single"/>
        </w:rPr>
      </w:pPr>
      <w:r>
        <w:rPr>
          <w:rFonts w:ascii="Arial;sans-serif" w:hAnsi="Arial;sans-serif"/>
          <w:b/>
          <w:color w:val="000000"/>
          <w:sz w:val="22"/>
          <w:u w:val="single"/>
        </w:rPr>
        <w:t>Operating Income / EBITDA</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2"/>
        </w:rPr>
        <w:t>Adjusted EBITDA margin expanded 340 basis points sequentially</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2"/>
        </w:rPr>
        <w:t>Executed price actions to offset ongoing commodity and fuel inflation</w:t>
      </w:r>
    </w:p>
    <w:p>
      <w:pPr>
        <w:pStyle w:val="TextBody"/>
        <w:bidi w:val="0"/>
        <w:spacing w:lineRule="auto" w:line="288" w:before="120" w:after="283"/>
        <w:jc w:val="left"/>
        <w:rPr>
          <w:rFonts w:ascii="Arial;sans-serif" w:hAnsi="Arial;sans-serif"/>
          <w:b/>
          <w:color w:val="000000"/>
          <w:sz w:val="22"/>
          <w:u w:val="single"/>
        </w:rPr>
      </w:pPr>
      <w:r>
        <w:rPr>
          <w:rFonts w:ascii="Arial;sans-serif" w:hAnsi="Arial;sans-serif"/>
          <w:b/>
          <w:color w:val="000000"/>
          <w:sz w:val="22"/>
          <w:u w:val="single"/>
        </w:rPr>
        <w:t>OmniMax Integration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Integration management office executing 11 critical workstreams to drive integration and synergies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Completed Phase 2 of organization optimization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 xml:space="preserve">Raised synergy commitment an additional $3.2 million to $29.4 million with $17.0 million anticipated to be realized in full-year 2026 </w:t>
      </w: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20"/>
                        <w:jc w:val="right"/>
                        <w:rPr/>
                      </w:pPr>
                      <w:r>
                        <w:rPr/>
                      </w:r>
                    </w:p>
                  </w:txbxContent>
                </v:textbox>
                <w10:wrap type="none"/>
              </v:rect>
            </w:pict>
          </mc:Fallback>
        </mc:AlternateContent>
      </w:r>
    </w:p>
    <w:p>
      <w:pPr>
        <w:pStyle w:val="TextBody"/>
        <w:bidi w:val="0"/>
        <w:spacing w:before="0" w:after="0"/>
        <w:jc w:val="right"/>
        <w:rPr/>
      </w:pPr>
      <w:r>
        <w:rPr/>
        <w:drawing>
          <wp:inline distT="0" distB="0" distL="0" distR="0">
            <wp:extent cx="2371725" cy="30480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2371725" cy="304800"/>
                    </a:xfrm>
                    <a:prstGeom prst="rect">
                      <a:avLst/>
                    </a:prstGeom>
                  </pic:spPr>
                </pic:pic>
              </a:graphicData>
            </a:graphic>
          </wp:inline>
        </w:drawing>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Awarded national agreement to supply trims and flashings to over 600 locations – starting in Q4 – additional participation gains in Midwest, Northeast and Texas – demonstrating the power of a combined Gibraltar and OmniMax</w:t>
      </w:r>
    </w:p>
    <w:p>
      <w:pPr>
        <w:pStyle w:val="TextBody"/>
        <w:bidi w:val="0"/>
        <w:spacing w:before="0" w:after="60"/>
        <w:jc w:val="left"/>
        <w:rPr/>
      </w:pPr>
      <w:r>
        <w:rPr/>
      </w:r>
    </w:p>
    <w:p>
      <w:pPr>
        <w:pStyle w:val="TextBody"/>
        <w:bidi w:val="0"/>
        <w:spacing w:lineRule="auto" w:line="288" w:before="0" w:after="0"/>
        <w:jc w:val="left"/>
        <w:rPr>
          <w:rFonts w:ascii="Arial;sans-serif" w:hAnsi="Arial;sans-serif"/>
          <w:b/>
          <w:i/>
          <w:color w:val="000000"/>
          <w:sz w:val="24"/>
          <w:u w:val="single"/>
        </w:rPr>
      </w:pPr>
      <w:r>
        <w:rPr>
          <w:rFonts w:ascii="Arial;sans-serif" w:hAnsi="Arial;sans-serif"/>
          <w:b/>
          <w:i/>
          <w:color w:val="000000"/>
          <w:sz w:val="24"/>
          <w:u w:val="single"/>
        </w:rPr>
        <w:t>Agtech</w:t>
      </w:r>
    </w:p>
    <w:p>
      <w:pPr>
        <w:pStyle w:val="TextBody"/>
        <w:bidi w:val="0"/>
        <w:spacing w:before="0" w:after="0"/>
        <w:jc w:val="both"/>
        <w:rPr/>
      </w:pPr>
      <w:r>
        <w:rPr/>
      </w:r>
    </w:p>
    <w:tbl>
      <w:tblPr>
        <w:tblW w:w="9978" w:type="dxa"/>
        <w:jc w:val="left"/>
        <w:tblInd w:w="0" w:type="dxa"/>
        <w:tblLayout w:type="fixed"/>
        <w:tblCellMar>
          <w:top w:w="28" w:type="dxa"/>
          <w:left w:w="28" w:type="dxa"/>
          <w:bottom w:w="28" w:type="dxa"/>
          <w:right w:w="28" w:type="dxa"/>
        </w:tblCellMar>
      </w:tblPr>
      <w:tblGrid>
        <w:gridCol w:w="673"/>
        <w:gridCol w:w="590"/>
        <w:gridCol w:w="597"/>
        <w:gridCol w:w="434"/>
        <w:gridCol w:w="434"/>
        <w:gridCol w:w="436"/>
        <w:gridCol w:w="434"/>
        <w:gridCol w:w="434"/>
        <w:gridCol w:w="436"/>
        <w:gridCol w:w="290"/>
        <w:gridCol w:w="290"/>
        <w:gridCol w:w="291"/>
        <w:gridCol w:w="529"/>
        <w:gridCol w:w="529"/>
        <w:gridCol w:w="531"/>
        <w:gridCol w:w="529"/>
        <w:gridCol w:w="529"/>
        <w:gridCol w:w="531"/>
        <w:gridCol w:w="294"/>
        <w:gridCol w:w="294"/>
        <w:gridCol w:w="296"/>
        <w:gridCol w:w="169"/>
        <w:gridCol w:w="169"/>
        <w:gridCol w:w="239"/>
      </w:tblGrid>
      <w:tr>
        <w:trPr/>
        <w:tc>
          <w:tcPr>
            <w:tcW w:w="673"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9978" w:type="dxa"/>
            <w:gridSpan w:val="24"/>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i/>
                <w:color w:val="000000"/>
                <w:sz w:val="22"/>
              </w:rPr>
              <w:t>($Millions)</w:t>
            </w:r>
            <w:r>
              <w:rPr>
                <w:color w:val="000000"/>
              </w:rPr>
              <w:t xml:space="preserve"> </w:t>
            </w:r>
            <w:r>
              <w:rPr>
                <w:rFonts w:ascii="Arial;sans-serif" w:hAnsi="Arial;sans-serif"/>
                <w:b w:val="false"/>
                <w:color w:val="000000"/>
                <w:sz w:val="22"/>
              </w:rPr>
              <w:t>Three Months Ended June 30,</w:t>
            </w:r>
          </w:p>
        </w:tc>
      </w:tr>
      <w:tr>
        <w:trPr/>
        <w:tc>
          <w:tcPr>
            <w:tcW w:w="18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2026 GAAP</w:t>
            </w:r>
          </w:p>
        </w:tc>
        <w:tc>
          <w:tcPr>
            <w:tcW w:w="13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2025 GAAP</w:t>
            </w:r>
          </w:p>
        </w:tc>
        <w:tc>
          <w:tcPr>
            <w:tcW w:w="8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Change</w:t>
            </w:r>
          </w:p>
        </w:tc>
        <w:tc>
          <w:tcPr>
            <w:tcW w:w="15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2026 Adjusted</w:t>
            </w:r>
          </w:p>
        </w:tc>
        <w:tc>
          <w:tcPr>
            <w:tcW w:w="15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2025 Adjusted</w:t>
            </w:r>
          </w:p>
        </w:tc>
        <w:tc>
          <w:tcPr>
            <w:tcW w:w="8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Change</w:t>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Sales</w:t>
            </w:r>
          </w:p>
        </w:tc>
        <w:tc>
          <w:tcPr>
            <w:tcW w:w="13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$58.8</w:t>
            </w:r>
          </w:p>
        </w:tc>
        <w:tc>
          <w:tcPr>
            <w:tcW w:w="13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$54.1</w:t>
            </w:r>
          </w:p>
        </w:tc>
        <w:tc>
          <w:tcPr>
            <w:tcW w:w="8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8.7%</w:t>
            </w:r>
          </w:p>
        </w:tc>
        <w:tc>
          <w:tcPr>
            <w:tcW w:w="15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$58.8</w:t>
            </w:r>
          </w:p>
        </w:tc>
        <w:tc>
          <w:tcPr>
            <w:tcW w:w="15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$54.1</w:t>
            </w:r>
          </w:p>
        </w:tc>
        <w:tc>
          <w:tcPr>
            <w:tcW w:w="8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8.7%</w:t>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Operating Income</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$5.9</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$(0.5)</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NMF</w:t>
            </w:r>
          </w:p>
        </w:tc>
        <w:tc>
          <w:tcPr>
            <w:tcW w:w="158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$5.9</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$3.0</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96.7%</w:t>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Operating Margin</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10.0%</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(0.9)%</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NMF</w:t>
            </w:r>
          </w:p>
        </w:tc>
        <w:tc>
          <w:tcPr>
            <w:tcW w:w="158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5.6%</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450 bps</w:t>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EBITDA</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N/A</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N/A</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N/A</w:t>
            </w:r>
          </w:p>
        </w:tc>
        <w:tc>
          <w:tcPr>
            <w:tcW w:w="158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$8.1</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$5.1</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58.8%</w:t>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EBITDA Margin</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N/A</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N/A</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N/A</w:t>
            </w:r>
          </w:p>
        </w:tc>
        <w:tc>
          <w:tcPr>
            <w:tcW w:w="158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13.8%</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9.5%</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430 bps</w:t>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Net sales were driven by strength in structures and commercial greenhouse applications. Solid backlog of $66.2 million is down 34% with timing of projects later in the year compared to prior year. Strong quoting activity continues across end markets.</w:t>
      </w:r>
    </w:p>
    <w:p>
      <w:pPr>
        <w:pStyle w:val="TextBody"/>
        <w:bidi w:val="0"/>
        <w:spacing w:lineRule="auto" w:line="288" w:before="200" w:after="283"/>
        <w:jc w:val="both"/>
        <w:rPr>
          <w:rFonts w:ascii="Arial;sans-serif" w:hAnsi="Arial;sans-serif"/>
          <w:b w:val="false"/>
          <w:color w:val="000000"/>
          <w:sz w:val="22"/>
        </w:rPr>
      </w:pPr>
      <w:r>
        <w:rPr>
          <w:rFonts w:ascii="Arial;sans-serif" w:hAnsi="Arial;sans-serif"/>
          <w:b w:val="false"/>
          <w:color w:val="000000"/>
          <w:sz w:val="22"/>
        </w:rPr>
        <w:t>Adjusted operating and EBITDA margin driven by volume, business mix, and 80/20 operating initiatives.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4"/>
          <w:u w:val="single"/>
        </w:rPr>
      </w:pPr>
      <w:r>
        <w:rPr>
          <w:rFonts w:ascii="Arial;sans-serif" w:hAnsi="Arial;sans-serif"/>
          <w:b/>
          <w:i/>
          <w:color w:val="000000"/>
          <w:sz w:val="24"/>
          <w:u w:val="single"/>
        </w:rPr>
        <w:t xml:space="preserve">Infrastructure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65"/>
        <w:gridCol w:w="583"/>
        <w:gridCol w:w="590"/>
        <w:gridCol w:w="429"/>
        <w:gridCol w:w="429"/>
        <w:gridCol w:w="431"/>
        <w:gridCol w:w="429"/>
        <w:gridCol w:w="429"/>
        <w:gridCol w:w="431"/>
        <w:gridCol w:w="342"/>
        <w:gridCol w:w="342"/>
        <w:gridCol w:w="344"/>
        <w:gridCol w:w="524"/>
        <w:gridCol w:w="524"/>
        <w:gridCol w:w="526"/>
        <w:gridCol w:w="524"/>
        <w:gridCol w:w="524"/>
        <w:gridCol w:w="526"/>
        <w:gridCol w:w="342"/>
        <w:gridCol w:w="342"/>
        <w:gridCol w:w="344"/>
        <w:gridCol w:w="167"/>
        <w:gridCol w:w="167"/>
        <w:gridCol w:w="251"/>
      </w:tblGrid>
      <w:tr>
        <w:trPr/>
        <w:tc>
          <w:tcPr>
            <w:tcW w:w="66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i/>
                <w:color w:val="000000"/>
                <w:sz w:val="22"/>
              </w:rPr>
              <w:t>($Millions)</w:t>
            </w:r>
            <w:r>
              <w:rPr>
                <w:color w:val="000000"/>
              </w:rPr>
              <w:t xml:space="preserve"> </w:t>
            </w:r>
            <w:r>
              <w:rPr>
                <w:rFonts w:ascii="Arial;sans-serif" w:hAnsi="Arial;sans-serif"/>
                <w:b w:val="false"/>
                <w:color w:val="000000"/>
                <w:sz w:val="22"/>
              </w:rPr>
              <w:t>Three Months Ended June 30,</w:t>
            </w:r>
          </w:p>
        </w:tc>
      </w:tr>
      <w:tr>
        <w:trPr/>
        <w:tc>
          <w:tcPr>
            <w:tcW w:w="183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2026 GAAP</w:t>
            </w:r>
          </w:p>
        </w:tc>
        <w:tc>
          <w:tcPr>
            <w:tcW w:w="12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2025 GAAP</w:t>
            </w:r>
          </w:p>
        </w:tc>
        <w:tc>
          <w:tcPr>
            <w:tcW w:w="102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Change</w:t>
            </w:r>
          </w:p>
        </w:tc>
        <w:tc>
          <w:tcPr>
            <w:tcW w:w="15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2026 Adjusted</w:t>
            </w:r>
          </w:p>
        </w:tc>
        <w:tc>
          <w:tcPr>
            <w:tcW w:w="15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2025 Adjusted</w:t>
            </w:r>
          </w:p>
        </w:tc>
        <w:tc>
          <w:tcPr>
            <w:tcW w:w="102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Change</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Sales</w:t>
            </w:r>
          </w:p>
        </w:tc>
        <w:tc>
          <w:tcPr>
            <w:tcW w:w="12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$24.9</w:t>
            </w:r>
          </w:p>
        </w:tc>
        <w:tc>
          <w:tcPr>
            <w:tcW w:w="12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$25.2</w:t>
            </w:r>
          </w:p>
        </w:tc>
        <w:tc>
          <w:tcPr>
            <w:tcW w:w="102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(1.2)%</w:t>
            </w:r>
          </w:p>
        </w:tc>
        <w:tc>
          <w:tcPr>
            <w:tcW w:w="15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$24.9</w:t>
            </w:r>
          </w:p>
        </w:tc>
        <w:tc>
          <w:tcPr>
            <w:tcW w:w="15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$25.2</w:t>
            </w:r>
          </w:p>
        </w:tc>
        <w:tc>
          <w:tcPr>
            <w:tcW w:w="102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(1.2)%</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Operating Income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$5.8</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$7.1</w:t>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(18.3)%</w:t>
            </w:r>
          </w:p>
        </w:tc>
        <w:tc>
          <w:tcPr>
            <w:tcW w:w="1574"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$5.8</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$7.1</w:t>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(18.3)%</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Operating Margin</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23.5%</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28.1%</w:t>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(460) bps</w:t>
            </w:r>
          </w:p>
        </w:tc>
        <w:tc>
          <w:tcPr>
            <w:tcW w:w="1574"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23.5%</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28.1%</w:t>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(460) bps</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EBITDA</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N/A</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N/A</w:t>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N/A</w:t>
            </w:r>
          </w:p>
        </w:tc>
        <w:tc>
          <w:tcPr>
            <w:tcW w:w="1574"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$6.3</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$7.9</w:t>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(20.3)%</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EBITDA Margin</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N/A</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N/A</w:t>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N/A</w:t>
            </w:r>
          </w:p>
        </w:tc>
        <w:tc>
          <w:tcPr>
            <w:tcW w:w="1574"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25.4%</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31.2%</w:t>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(580) bps</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2"/>
        </w:rPr>
      </w:pPr>
      <w:r>
        <w:rPr>
          <w:rFonts w:ascii="Arial;sans-serif" w:hAnsi="Arial;sans-serif"/>
          <w:b w:val="false"/>
          <w:color w:val="000000"/>
          <w:sz w:val="22"/>
        </w:rPr>
        <w:t xml:space="preserve">Sales decreased $0.3 million related to customer project timing. Order backlog increased 2% with strong engineering bid / quoting activity. Margin was impacted by lower volume and product mix. </w:t>
      </w:r>
    </w:p>
    <w:p>
      <w:pPr>
        <w:pStyle w:val="TextBody"/>
        <w:bidi w:val="0"/>
        <w:spacing w:before="120" w:after="283"/>
        <w:jc w:val="both"/>
        <w:rPr/>
      </w:pPr>
      <w:r>
        <w:rPr/>
      </w:r>
    </w:p>
    <w:p>
      <w:pPr>
        <w:pStyle w:val="TextBody"/>
        <w:bidi w:val="0"/>
        <w:spacing w:lineRule="auto" w:line="288" w:before="120" w:after="283"/>
        <w:jc w:val="both"/>
        <w:rPr>
          <w:rFonts w:ascii="Arial;sans-serif" w:hAnsi="Arial;sans-serif"/>
          <w:b/>
          <w:color w:val="000000"/>
          <w:sz w:val="22"/>
        </w:rPr>
      </w:pPr>
      <w:r>
        <w:rPr>
          <w:rFonts w:ascii="Arial;sans-serif" w:hAnsi="Arial;sans-serif"/>
          <w:b/>
          <w:color w:val="000000"/>
          <w:sz w:val="22"/>
        </w:rPr>
        <w:t>Balance Sheet and Cash Flow</w:t>
      </w:r>
    </w:p>
    <w:p>
      <w:pPr>
        <w:pStyle w:val="TextBody"/>
        <w:bidi w:val="0"/>
        <w:spacing w:lineRule="auto" w:line="288" w:before="120" w:after="283"/>
        <w:jc w:val="both"/>
        <w:rPr>
          <w:rFonts w:ascii="Arial;sans-serif" w:hAnsi="Arial;sans-serif"/>
          <w:b w:val="false"/>
          <w:color w:val="000000"/>
          <w:sz w:val="22"/>
        </w:rPr>
      </w:pPr>
      <w:r>
        <w:rPr>
          <w:rFonts w:ascii="Arial;sans-serif" w:hAnsi="Arial;sans-serif"/>
          <w:b w:val="false"/>
          <w:color w:val="000000"/>
          <w:sz w:val="22"/>
        </w:rPr>
        <w:t xml:space="preserve">Gibraltar’s policy with respect to cash allocation will be to keep a minimum amount of cash on hand, use the revolver as needed to fund seasonal working capital and pay down debt with excess cash flow. </w:t>
      </w:r>
    </w:p>
    <w:p>
      <w:pPr>
        <w:pStyle w:val="TextBody"/>
        <w:bidi w:val="0"/>
        <w:spacing w:lineRule="auto" w:line="288" w:before="120" w:after="283"/>
        <w:jc w:val="both"/>
        <w:rPr>
          <w:rFonts w:ascii="Arial;sans-serif" w:hAnsi="Arial;sans-serif"/>
          <w:b w:val="false"/>
          <w:color w:val="000000"/>
          <w:sz w:val="22"/>
        </w:rPr>
      </w:pPr>
      <w:r>
        <w:rPr>
          <w:rFonts w:ascii="Arial;sans-serif" w:hAnsi="Arial;sans-serif"/>
          <w:b w:val="false"/>
          <w:color w:val="000000"/>
          <w:sz w:val="22"/>
        </w:rPr>
        <w:t>During the quarter, Gibraltar generated $44.5 million from continuing operations; discontinued operations used $40.8 million in cash. Net debt on the balance sheet was $1.2 billion and revolving credit facility availability was $470 million at quarter-end.</w:t>
      </w:r>
    </w:p>
    <w:p>
      <w:pPr>
        <w:pStyle w:val="TextBody"/>
        <w:bidi w:val="0"/>
        <w:spacing w:before="0" w:after="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9"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20"/>
                        <w:jc w:val="right"/>
                        <w:rPr/>
                      </w:pPr>
                      <w:r>
                        <w:rPr/>
                      </w:r>
                    </w:p>
                  </w:txbxContent>
                </v:textbox>
                <w10:wrap type="none"/>
              </v:rect>
            </w:pict>
          </mc:Fallback>
        </mc:AlternateContent>
      </w:r>
    </w:p>
    <w:p>
      <w:pPr>
        <w:pStyle w:val="TextBody"/>
        <w:bidi w:val="0"/>
        <w:spacing w:before="0" w:after="0"/>
        <w:jc w:val="right"/>
        <w:rPr/>
      </w:pPr>
      <w:r>
        <w:rPr/>
        <w:drawing>
          <wp:inline distT="0" distB="0" distL="0" distR="0">
            <wp:extent cx="2371725" cy="30480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2371725" cy="304800"/>
                    </a:xfrm>
                    <a:prstGeom prst="rect">
                      <a:avLst/>
                    </a:prstGeom>
                  </pic:spPr>
                </pic:pic>
              </a:graphicData>
            </a:graphic>
          </wp:inline>
        </w:drawing>
      </w:r>
    </w:p>
    <w:p>
      <w:pPr>
        <w:pStyle w:val="TextBody"/>
        <w:bidi w:val="0"/>
        <w:spacing w:lineRule="auto" w:line="288" w:before="120" w:after="283"/>
        <w:jc w:val="both"/>
        <w:rPr>
          <w:rFonts w:ascii="Arial;sans-serif" w:hAnsi="Arial;sans-serif"/>
          <w:b/>
          <w:color w:val="000000"/>
          <w:sz w:val="22"/>
        </w:rPr>
      </w:pPr>
      <w:r>
        <w:rPr>
          <w:rFonts w:ascii="Arial;sans-serif" w:hAnsi="Arial;sans-serif"/>
          <w:b/>
          <w:color w:val="000000"/>
          <w:sz w:val="22"/>
        </w:rPr>
        <w:t xml:space="preserve">Reiterating 2026 Outlook Range for Continuing Operations </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Mr. Bosway added, “Despite the impact of the current macroeconomic and geopolitical environment and a slow Residential end market, we reiterate our full year 2026 outlook. We will continue to execute our 11 integration workstreams, implement synergy initiatives, and focus on participation gains with customers in our Residential business as we drive towards Residential representing an even larger part of the portfolio. The additional business we were recently awarded in our Residential segment demonstrates the power of a combined Gibraltar and OmniMax in the marketplace. We also expect Agtech and Infrastructure to deliver their respective plans for the second half of the year.”</w:t>
      </w:r>
    </w:p>
    <w:p>
      <w:pPr>
        <w:pStyle w:val="TextBody"/>
        <w:bidi w:val="0"/>
        <w:spacing w:before="120" w:after="283"/>
        <w:jc w:val="both"/>
        <w:rPr/>
      </w:pPr>
      <w:r>
        <w:rPr/>
      </w:r>
    </w:p>
    <w:tbl>
      <w:tblPr>
        <w:tblW w:w="6507" w:type="dxa"/>
        <w:jc w:val="left"/>
        <w:tblInd w:w="0" w:type="dxa"/>
        <w:tblLayout w:type="fixed"/>
        <w:tblCellMar>
          <w:top w:w="28" w:type="dxa"/>
          <w:left w:w="28" w:type="dxa"/>
          <w:bottom w:w="28" w:type="dxa"/>
          <w:right w:w="28" w:type="dxa"/>
        </w:tblCellMar>
      </w:tblPr>
      <w:tblGrid>
        <w:gridCol w:w="1049"/>
        <w:gridCol w:w="923"/>
        <w:gridCol w:w="923"/>
        <w:gridCol w:w="291"/>
        <w:gridCol w:w="291"/>
        <w:gridCol w:w="291"/>
        <w:gridCol w:w="291"/>
        <w:gridCol w:w="291"/>
        <w:gridCol w:w="291"/>
        <w:gridCol w:w="291"/>
        <w:gridCol w:w="291"/>
        <w:gridCol w:w="291"/>
        <w:gridCol w:w="291"/>
        <w:gridCol w:w="291"/>
        <w:gridCol w:w="411"/>
      </w:tblGrid>
      <w:tr>
        <w:trPr/>
        <w:tc>
          <w:tcPr>
            <w:tcW w:w="104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507"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For the Twelve Months Ended December 31,</w:t>
            </w:r>
          </w:p>
        </w:tc>
      </w:tr>
      <w:tr>
        <w:trPr/>
        <w:tc>
          <w:tcPr>
            <w:tcW w:w="28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u w:val="single"/>
              </w:rPr>
            </w:pPr>
            <w:r>
              <w:rPr>
                <w:rFonts w:ascii="Arial;sans-serif" w:hAnsi="Arial;sans-serif"/>
                <w:b w:val="false"/>
                <w:color w:val="000000"/>
                <w:sz w:val="22"/>
                <w:u w:val="single"/>
              </w:rPr>
              <w:t>2026</w:t>
            </w:r>
          </w:p>
        </w:tc>
        <w:tc>
          <w:tcPr>
            <w:tcW w:w="9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u w:val="single"/>
              </w:rPr>
            </w:pPr>
            <w:r>
              <w:rPr>
                <w:rFonts w:ascii="Arial;sans-serif" w:hAnsi="Arial;sans-serif"/>
                <w:b w:val="false"/>
                <w:color w:val="000000"/>
                <w:sz w:val="22"/>
                <w:u w:val="single"/>
              </w:rPr>
              <w:t>2025</w:t>
            </w:r>
          </w:p>
        </w:tc>
      </w:tr>
      <w:tr>
        <w:trPr/>
        <w:tc>
          <w:tcPr>
            <w:tcW w:w="289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2"/>
              </w:rPr>
              <w:t xml:space="preserve">Net Sales </w:t>
            </w:r>
            <w:r>
              <w:rPr>
                <w:rFonts w:ascii="Arial;sans-serif" w:hAnsi="Arial;sans-serif"/>
                <w:b w:val="false"/>
                <w:i/>
                <w:color w:val="000000"/>
                <w:sz w:val="20"/>
              </w:rPr>
              <w:t>(in billions)</w:t>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$1.76</w:t>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w:t>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$1.83</w:t>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$1.14</w:t>
            </w:r>
          </w:p>
        </w:tc>
      </w:tr>
      <w:tr>
        <w:trPr/>
        <w:tc>
          <w:tcPr>
            <w:tcW w:w="289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2"/>
              </w:rPr>
              <w:t xml:space="preserve">Adjusted EBITDA </w:t>
            </w:r>
            <w:r>
              <w:rPr>
                <w:rFonts w:ascii="Arial;sans-serif" w:hAnsi="Arial;sans-serif"/>
                <w:b w:val="false"/>
                <w:i/>
                <w:color w:val="000000"/>
                <w:sz w:val="20"/>
              </w:rPr>
              <w:t>(in millions)</w:t>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$310</w:t>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w:t>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$326</w:t>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$185</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Adjusted EBITDA Margin</w:t>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17.6%</w:t>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w:t>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17.8%</w:t>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16.3%</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GAAP EPS – Diluted</w:t>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$2.40</w:t>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w:t>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$2.80</w:t>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$3.25</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Adjusted EPS – Diluted</w:t>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$3.65</w:t>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w:t>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$4.05</w:t>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$3.92</w:t>
            </w:r>
          </w:p>
        </w:tc>
      </w:tr>
    </w:tbl>
    <w:p>
      <w:pPr>
        <w:pStyle w:val="TextBody"/>
        <w:bidi w:val="0"/>
        <w:spacing w:before="120" w:after="283"/>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 xml:space="preserve">Second Quarter 2026 Conference Call Details </w:t>
      </w:r>
    </w:p>
    <w:p>
      <w:pPr>
        <w:pStyle w:val="TextBody"/>
        <w:bidi w:val="0"/>
        <w:spacing w:lineRule="auto" w:line="288" w:before="120" w:after="283"/>
        <w:jc w:val="both"/>
        <w:rPr>
          <w:rFonts w:ascii="Arial;sans-serif" w:hAnsi="Arial;sans-serif"/>
          <w:b w:val="false"/>
          <w:color w:val="000000"/>
          <w:sz w:val="22"/>
        </w:rPr>
      </w:pPr>
      <w:r>
        <w:rPr>
          <w:rFonts w:ascii="Arial;sans-serif" w:hAnsi="Arial;sans-serif"/>
          <w:b w:val="false"/>
          <w:color w:val="000000"/>
          <w:sz w:val="22"/>
        </w:rPr>
        <w:t>Gibraltar will host a conference call today starting at 9:00 a.m. ET to review its results for the second quarter of 2026. Interested parties may access the webcast through the Investors section of the Company’s website at www.gibraltar1.com, where related presentation materials will also be posted prior to the conference call. The call also may be accessed by dialing (877) 407-3088 or (201) 389-0927. For interested individuals unable to join the live conference call, a webcast replay will be available on the Company’s website for one year.</w:t>
      </w:r>
    </w:p>
    <w:p>
      <w:pPr>
        <w:pStyle w:val="TextBody"/>
        <w:bidi w:val="0"/>
        <w:spacing w:lineRule="auto" w:line="288" w:before="240" w:after="120"/>
        <w:jc w:val="left"/>
        <w:rPr>
          <w:rFonts w:ascii="Arial;sans-serif" w:hAnsi="Arial;sans-serif"/>
          <w:b/>
          <w:color w:val="000000"/>
          <w:sz w:val="22"/>
        </w:rPr>
      </w:pPr>
      <w:r>
        <w:rPr>
          <w:rFonts w:ascii="Arial;sans-serif" w:hAnsi="Arial;sans-serif"/>
          <w:b/>
          <w:color w:val="000000"/>
          <w:sz w:val="22"/>
        </w:rPr>
        <w:t xml:space="preserve">About Gibraltar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Gibraltar is a leading manufacturer and provider of products and services for the residential, agtech, and infrastructure markets. Gibraltar’s mission, to make life better for people and the planet, is fueled by advancing the disciplines of engineering, science, and technology. Gibraltar is innovating to reshape critical markets in comfortable living and productive growing throughout North America. For more please visit www.gibraltar1.com. </w:t>
      </w:r>
    </w:p>
    <w:p>
      <w:pPr>
        <w:pStyle w:val="TextBody"/>
        <w:bidi w:val="0"/>
        <w:spacing w:before="0" w:after="120"/>
        <w:jc w:val="both"/>
        <w:rPr/>
      </w:pPr>
      <w:r>
        <w:rPr/>
      </w:r>
    </w:p>
    <w:p>
      <w:pPr>
        <w:pStyle w:val="TextBody"/>
        <w:bidi w:val="0"/>
        <w:spacing w:lineRule="auto" w:line="288" w:before="120" w:after="120"/>
        <w:jc w:val="left"/>
        <w:rPr>
          <w:rFonts w:ascii="Arial;sans-serif" w:hAnsi="Arial;sans-serif"/>
          <w:b/>
          <w:color w:val="000000"/>
          <w:sz w:val="22"/>
        </w:rPr>
      </w:pPr>
      <w:r>
        <w:rPr>
          <w:rFonts w:ascii="Arial;sans-serif" w:hAnsi="Arial;sans-serif"/>
          <w:b/>
          <w:color w:val="000000"/>
          <w:sz w:val="22"/>
        </w:rPr>
        <w:t xml:space="preserve">Forward-Looking Statements </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 xml:space="preserve">Certain information set forth in this news release, other than historical statements, contains “forward-looking statements” within the meaning of the Private Securities Litigation Reform Act of 1995 that are based, in whole or in part, on current expectations, estimates, forecasts, and projections about the Company’s business, and management’s beliefs about future operations, results, and financial position. These statements are not guarantees of future performance and are subject to a number of risk factors, uncertainties, and assumptions. Actual events, performance, or results could differ materially from the anticipated events, performance, or results expressed or implied by such forward-looking statements. Factors that could cause actual results to differ materially from current expectations include, among other things, the ability of Gibraltar to successfully integrate OmniMax and/or to achieve expected cost and operational synergies from the OmniMax transaction; tariffs and retaliatory tariffs imposed by the United States or other countries on imported goods, including raw materials used in the manufacturing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11"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20"/>
                        <w:jc w:val="right"/>
                        <w:rPr/>
                      </w:pPr>
                      <w:r>
                        <w:rPr/>
                      </w:r>
                    </w:p>
                  </w:txbxContent>
                </v:textbox>
                <w10:wrap type="none"/>
              </v:rect>
            </w:pict>
          </mc:Fallback>
        </mc:AlternateContent>
      </w:r>
    </w:p>
    <w:p>
      <w:pPr>
        <w:pStyle w:val="TextBody"/>
        <w:bidi w:val="0"/>
        <w:spacing w:before="0" w:after="0"/>
        <w:jc w:val="right"/>
        <w:rPr/>
      </w:pPr>
      <w:r>
        <w:rPr/>
        <w:drawing>
          <wp:inline distT="0" distB="0" distL="0" distR="0">
            <wp:extent cx="2371725" cy="304800"/>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6"/>
                    <a:stretch>
                      <a:fillRect/>
                    </a:stretch>
                  </pic:blipFill>
                  <pic:spPr bwMode="auto">
                    <a:xfrm>
                      <a:off x="0" y="0"/>
                      <a:ext cx="2371725" cy="304800"/>
                    </a:xfrm>
                    <a:prstGeom prst="rect">
                      <a:avLst/>
                    </a:prstGeom>
                  </pic:spPr>
                </pic:pic>
              </a:graphicData>
            </a:graphic>
          </wp:inline>
        </w:drawing>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Company’s products; changes to economic conditions and customer demand for the Company’s products; the availability and pricing of principal raw materials and component parts, supply chain challenges causing project delays and field operations inefficiencies and disruptions, the loss of any key customers, adverse effects of inflation, the ability to continue to improve operating margins, the ability to generate order flow and sales and increase backlog; the ability to translate backlog into net sales, other general economic conditions and conditions in the particular markets in which we operate, changes in spending due to laws and government incentives, such as the Infrastructure Investment and Jobs Act, changes in customer demand and capital spending, competitive factors and pricing pressures, the ability to develop and launch new products in a cost-effective manner, the ability to realize synergies from newly acquired businesses, disruptions to IT systems, the impact of trade and regulation, rebates, credits and incentives and variations in government spending and ability to derive expected benefits from restructuring, productivity initiatives, liquidity enhancing actions, and other cost reduction actions.  Before making any investment decisions regarding the company, we strongly advise you to read the section entitled “Risk Factors” in the most recent annual report on Form 10-K which can be accessed under the “SEC Filings” link of the “Investor Info” page of the website at www.Gibraltar1.com. The Company undertakes no obligation to update any forward-looking statements, whether as a result of new information, future events or otherwise, except as may be required by applicable law or regulation.</w:t>
      </w:r>
    </w:p>
    <w:p>
      <w:pPr>
        <w:pStyle w:val="TextBody"/>
        <w:bidi w:val="0"/>
        <w:spacing w:before="120" w:after="120"/>
        <w:jc w:val="left"/>
        <w:rPr/>
      </w:pPr>
      <w:r>
        <w:rPr/>
      </w:r>
    </w:p>
    <w:p>
      <w:pPr>
        <w:pStyle w:val="TextBody"/>
        <w:bidi w:val="0"/>
        <w:spacing w:lineRule="auto" w:line="288" w:before="120" w:after="120"/>
        <w:jc w:val="left"/>
        <w:rPr/>
      </w:pPr>
      <w:r>
        <w:rPr>
          <w:rFonts w:ascii="Arial;sans-serif" w:hAnsi="Arial;sans-serif"/>
          <w:b/>
          <w:color w:val="000000"/>
          <w:sz w:val="22"/>
        </w:rPr>
        <w:t>Adjusted Financial Measures</w:t>
      </w:r>
      <w:r>
        <w:rPr>
          <w:color w:val="000000"/>
        </w:rPr>
        <w:t xml:space="preserve"> </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 xml:space="preserve">To supplement Gibraltar’s consolidated financial statements presented on a GAAP basis, Gibraltar also presented certain adjusted financial measures in this news release and its quarterly conference call, including adjusted net sales, adjusted operating income and margin, adjusted net income, adjusted earnings per share (EPS), free cash flow and adjusted earnings before interest, taxes, depreciation and amortization (Adjusted EBITDA) and Adjusted EBITDA margin, each a non-GAAP financial measure. Unless otherwise indicated, the consolidated financial statements, disclosures and related information disclosed herein relate to the Company's continuing operations, which exclude its Renewables business which was classified as a discontinued operation as of June 30, 2025. The Company has recast prior period amounts to reflect discontinued operations. Adjusted net income, operating income and margin exclude special charges consisting of restructuring costs (primarily comprised of exit activities costs and impairment of assets associated with 80/20 simplification, lean initiatives and / or discontinued products), acquisition related costs (legal and consulting fees, and integration costs for recent business acquisitions), and portfolio management. These special charges are excluded since they may not be considered directly related to the Company’s ongoing business operations. The aforementioned exclusions along with other adjustments to other income below operating profit are excluded from adjusted EPS. Adjusted EBITDA and Adjusted EBITDA margin further excludes interest, taxes, depreciation, amortization and stock compensation expense. In evaluating its business, the Company considers and uses these non-GAAP financial measures as supplemental measures of its operating performance. Free cash flow is operating cash flow less capital expenditures and the related margin is free cash flow divided by net sales. The Company believes that the presentation of adjusted measures and free cash flow provides meaningful supplemental data to investors, as well as management, that are indicative of the Company’s core operating results and facilitates comparison of operating results across reporting periods as well as comparison with other companies. Adjusted EBITDA and free cash flow are also useful measures of the Company’s ability to service debt and adjusted EBITDA is one of the measures used for determining the Company’s debt covenant compliance. </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 xml:space="preserve">Adjustments to the most directly comparable financial measures presented on a GAAP basis are quantified in the reconciliation of adjusted financial measures provided in the supplemental financial schedules that accompany this news release. These adjusted measures should not be viewed as a substitute for the Company’s GAAP results and may be different than adjusted measures used by other </w:t>
      </w:r>
    </w:p>
    <w:p>
      <w:pPr>
        <w:pStyle w:val="TextBody"/>
        <w:bidi w:val="0"/>
        <w:spacing w:before="0" w:after="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13"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20"/>
                        <w:jc w:val="right"/>
                        <w:rPr/>
                      </w:pPr>
                      <w:r>
                        <w:rPr/>
                      </w:r>
                    </w:p>
                  </w:txbxContent>
                </v:textbox>
                <w10:wrap type="none"/>
              </v:rect>
            </w:pict>
          </mc:Fallback>
        </mc:AlternateContent>
      </w:r>
    </w:p>
    <w:p>
      <w:pPr>
        <w:pStyle w:val="TextBody"/>
        <w:bidi w:val="0"/>
        <w:spacing w:before="0" w:after="0"/>
        <w:jc w:val="right"/>
        <w:rPr/>
      </w:pPr>
      <w:r>
        <w:rPr/>
        <w:drawing>
          <wp:inline distT="0" distB="0" distL="0" distR="0">
            <wp:extent cx="2371725" cy="304800"/>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7"/>
                    <a:stretch>
                      <a:fillRect/>
                    </a:stretch>
                  </pic:blipFill>
                  <pic:spPr bwMode="auto">
                    <a:xfrm>
                      <a:off x="0" y="0"/>
                      <a:ext cx="2371725" cy="304800"/>
                    </a:xfrm>
                    <a:prstGeom prst="rect">
                      <a:avLst/>
                    </a:prstGeom>
                  </pic:spPr>
                </pic:pic>
              </a:graphicData>
            </a:graphic>
          </wp:inline>
        </w:drawing>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companies and the Company’s presentation of non-GAAP financial measures should not be construed as an inference that the Company’s future results will be unaffected by unusual or non-recurring items.</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Reconciliations of non-GAAP measures related to full-year 2026 guidance have not been provided due to the unreasonable efforts it would take to provide such reconciliations due to the high variability, complexity and uncertainty with respect to forecasting and quantifying certain amounts that are necessary for such reconciliations.</w:t>
      </w:r>
    </w:p>
    <w:p>
      <w:pPr>
        <w:pStyle w:val="TextBody"/>
        <w:bidi w:val="0"/>
        <w:spacing w:before="0" w:after="0"/>
        <w:jc w:val="left"/>
        <w:rPr/>
      </w:pPr>
      <w:r>
        <w:rPr/>
      </w:r>
    </w:p>
    <w:p>
      <w:pPr>
        <w:pStyle w:val="TextBody"/>
        <w:bidi w:val="0"/>
        <w:spacing w:lineRule="auto" w:line="333" w:before="0" w:after="120"/>
        <w:jc w:val="left"/>
        <w:rPr>
          <w:rFonts w:ascii="Arial;sans-serif" w:hAnsi="Arial;sans-serif"/>
          <w:b/>
          <w:color w:val="000000"/>
          <w:sz w:val="22"/>
        </w:rPr>
      </w:pPr>
      <w:r>
        <w:rPr>
          <w:rFonts w:ascii="Arial;sans-serif" w:hAnsi="Arial;sans-serif"/>
          <w:b/>
          <w:color w:val="000000"/>
          <w:sz w:val="22"/>
        </w:rPr>
        <w:t>Contact:</w:t>
      </w:r>
    </w:p>
    <w:p>
      <w:pPr>
        <w:pStyle w:val="TextBody"/>
        <w:bidi w:val="0"/>
        <w:spacing w:lineRule="auto" w:line="333" w:before="0" w:after="0"/>
        <w:jc w:val="left"/>
        <w:rPr>
          <w:rFonts w:ascii="Arial;sans-serif" w:hAnsi="Arial;sans-serif"/>
          <w:b w:val="false"/>
          <w:color w:val="000000"/>
          <w:sz w:val="22"/>
        </w:rPr>
      </w:pPr>
      <w:r>
        <w:rPr>
          <w:rFonts w:ascii="Arial;sans-serif" w:hAnsi="Arial;sans-serif"/>
          <w:b w:val="false"/>
          <w:color w:val="000000"/>
          <w:sz w:val="22"/>
        </w:rPr>
        <w:t>Alliance Advisors Investor Relations</w:t>
      </w:r>
    </w:p>
    <w:p>
      <w:pPr>
        <w:pStyle w:val="TextBody"/>
        <w:bidi w:val="0"/>
        <w:spacing w:lineRule="auto" w:line="333" w:before="0" w:after="0"/>
        <w:jc w:val="left"/>
        <w:rPr>
          <w:rFonts w:ascii="Arial;sans-serif" w:hAnsi="Arial;sans-serif"/>
          <w:b w:val="false"/>
          <w:color w:val="000000"/>
          <w:sz w:val="22"/>
        </w:rPr>
      </w:pPr>
      <w:r>
        <w:rPr>
          <w:rFonts w:ascii="Arial;sans-serif" w:hAnsi="Arial;sans-serif"/>
          <w:b w:val="false"/>
          <w:color w:val="000000"/>
          <w:sz w:val="22"/>
        </w:rPr>
        <w:t>Jody Burfening/Carolyn Capaccio</w:t>
      </w:r>
    </w:p>
    <w:p>
      <w:pPr>
        <w:pStyle w:val="TextBody"/>
        <w:bidi w:val="0"/>
        <w:spacing w:lineRule="auto" w:line="333" w:before="0" w:after="0"/>
        <w:jc w:val="left"/>
        <w:rPr>
          <w:rFonts w:ascii="Arial;sans-serif" w:hAnsi="Arial;sans-serif"/>
          <w:b w:val="false"/>
          <w:color w:val="000000"/>
          <w:sz w:val="22"/>
        </w:rPr>
      </w:pPr>
      <w:r>
        <w:rPr>
          <w:rFonts w:ascii="Arial;sans-serif" w:hAnsi="Arial;sans-serif"/>
          <w:b w:val="false"/>
          <w:color w:val="000000"/>
          <w:sz w:val="22"/>
        </w:rPr>
        <w:t>(212) 838-3777</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rock@allianceadvisors.com</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15"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20"/>
                        <w:jc w:val="right"/>
                        <w:rPr/>
                      </w:pPr>
                      <w:r>
                        <w:rPr/>
                      </w:r>
                    </w:p>
                  </w:txbxContent>
                </v:textbox>
                <w10:wrap type="none"/>
              </v:rect>
            </w:pict>
          </mc:Fallback>
        </mc:AlternateContent>
      </w:r>
    </w:p>
    <w:p>
      <w:pPr>
        <w:pStyle w:val="TextBody"/>
        <w:bidi w:val="0"/>
        <w:spacing w:before="0" w:after="0"/>
        <w:jc w:val="right"/>
        <w:rPr/>
      </w:pPr>
      <w:r>
        <w:rPr/>
        <w:drawing>
          <wp:inline distT="0" distB="0" distL="0" distR="0">
            <wp:extent cx="2371725" cy="304800"/>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8"/>
                    <a:stretch>
                      <a:fillRect/>
                    </a:stretch>
                  </pic:blipFill>
                  <pic:spPr bwMode="auto">
                    <a:xfrm>
                      <a:off x="0" y="0"/>
                      <a:ext cx="2371725" cy="304800"/>
                    </a:xfrm>
                    <a:prstGeom prst="rect">
                      <a:avLst/>
                    </a:prstGeom>
                  </pic:spPr>
                </pic:pic>
              </a:graphicData>
            </a:graphic>
          </wp:inline>
        </w:drawing>
      </w:r>
    </w:p>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GIBRALTAR INDUSTRIES,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CONSOLIDATED STATEMENTS OF OPERATIONS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 except per share data)</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29"/>
        <w:gridCol w:w="1315"/>
        <w:gridCol w:w="1329"/>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6"/>
      </w:tblGrid>
      <w:tr>
        <w:trPr/>
        <w:tc>
          <w:tcPr>
            <w:tcW w:w="182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Six Months Ended</w:t>
              <w:br/>
              <w:t>June 30,</w:t>
            </w:r>
          </w:p>
        </w:tc>
      </w:tr>
      <w:tr>
        <w:trPr/>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865,834 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555,874 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398,186 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157,688 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(income),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(income),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taxes from continuing operations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69,473 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continuing operations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52,553 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Discontinued operations: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before taxes from discontinued operations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Benefit of income taxes from discontinued operations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discontinued operations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(74,561)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 per share – Basic:</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discontinued operations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 outstanding – Basic</w:t>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29,770 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29,717 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29,781 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30,027 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 per share – Diluted:</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discontinued operations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 outstanding – Diluted</w:t>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29,809 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29,806 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29,835 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30,133 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17"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20"/>
                        <w:jc w:val="right"/>
                        <w:rPr/>
                      </w:pPr>
                      <w:r>
                        <w:rPr/>
                      </w:r>
                    </w:p>
                  </w:txbxContent>
                </v:textbox>
                <w10:wrap type="none"/>
              </v:rect>
            </w:pict>
          </mc:Fallback>
        </mc:AlternateContent>
      </w:r>
    </w:p>
    <w:p>
      <w:pPr>
        <w:pStyle w:val="TextBody"/>
        <w:bidi w:val="0"/>
        <w:spacing w:before="0" w:after="0"/>
        <w:jc w:val="right"/>
        <w:rPr/>
      </w:pPr>
      <w:r>
        <w:rPr/>
        <w:drawing>
          <wp:inline distT="0" distB="0" distL="0" distR="0">
            <wp:extent cx="2371725" cy="304800"/>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9"/>
                    <a:stretch>
                      <a:fillRect/>
                    </a:stretch>
                  </pic:blipFill>
                  <pic:spPr bwMode="auto">
                    <a:xfrm>
                      <a:off x="0" y="0"/>
                      <a:ext cx="2371725" cy="304800"/>
                    </a:xfrm>
                    <a:prstGeom prst="rect">
                      <a:avLst/>
                    </a:prstGeom>
                  </pic:spPr>
                </pic:pic>
              </a:graphicData>
            </a:graphic>
          </wp:inline>
        </w:drawing>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GIBRALTAR INDUSTRIES,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CONSOLIDATED BALANCE SHEETS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2714"/>
        <w:gridCol w:w="2219"/>
        <w:gridCol w:w="2217"/>
        <w:gridCol w:w="211"/>
        <w:gridCol w:w="1021"/>
        <w:gridCol w:w="109"/>
        <w:gridCol w:w="109"/>
        <w:gridCol w:w="109"/>
        <w:gridCol w:w="109"/>
        <w:gridCol w:w="211"/>
        <w:gridCol w:w="1021"/>
        <w:gridCol w:w="155"/>
      </w:tblGrid>
      <w:tr>
        <w:trPr/>
        <w:tc>
          <w:tcPr>
            <w:tcW w:w="2714"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31,</w:t>
              <w:br/>
              <w:t>2025</w:t>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115,724 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receivables, net of allowance of $3,004 and $2,558, respectively</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120,327 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in excess of billings,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 net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116,770 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of discontinued operations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192,362 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628,886 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130,456 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415,032 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relationships,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intangibles, net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2,786,285 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1,393,603 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108,216 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155,807 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Billings in excess of costs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 of discontinued operations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366,022 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1,218,076 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operating lease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Preferred stock, $0.01 par value; authorized 10,000 shares; none outstanding</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$0.01 par value; authorized 100,000 shares; 34,698 and 34,482 shares issued and outstanding, respectively</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353,018 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772,183 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831,463 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Treasury stock, at cost; 5,015 and 4,935 shares, respectively</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(230,745)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890,752 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950,398 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2,786,285 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1,393,603 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19"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20"/>
                        <w:jc w:val="right"/>
                        <w:rPr/>
                      </w:pPr>
                      <w:r>
                        <w:rPr/>
                      </w:r>
                    </w:p>
                  </w:txbxContent>
                </v:textbox>
                <w10:wrap type="none"/>
              </v:rect>
            </w:pict>
          </mc:Fallback>
        </mc:AlternateContent>
      </w:r>
    </w:p>
    <w:p>
      <w:pPr>
        <w:pStyle w:val="TextBody"/>
        <w:bidi w:val="0"/>
        <w:spacing w:before="0" w:after="0"/>
        <w:jc w:val="right"/>
        <w:rPr/>
      </w:pPr>
      <w:r>
        <w:rPr/>
        <w:drawing>
          <wp:inline distT="0" distB="0" distL="0" distR="0">
            <wp:extent cx="2371725" cy="304800"/>
            <wp:effectExtent l="0" t="0" r="0" b="0"/>
            <wp:docPr id="2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 descr=""/>
                    <pic:cNvPicPr>
                      <a:picLocks noChangeAspect="1" noChangeArrowheads="1"/>
                    </pic:cNvPicPr>
                  </pic:nvPicPr>
                  <pic:blipFill>
                    <a:blip r:embed="rId10"/>
                    <a:stretch>
                      <a:fillRect/>
                    </a:stretch>
                  </pic:blipFill>
                  <pic:spPr bwMode="auto">
                    <a:xfrm>
                      <a:off x="0" y="0"/>
                      <a:ext cx="2371725" cy="304800"/>
                    </a:xfrm>
                    <a:prstGeom prst="rect">
                      <a:avLst/>
                    </a:prstGeom>
                  </pic:spPr>
                </pic:pic>
              </a:graphicData>
            </a:graphic>
          </wp:inline>
        </w:drawing>
      </w:r>
    </w:p>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GIBRALTAR INDUSTRIES, INC.</w:t>
      </w:r>
    </w:p>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CONSOLIDATED STATEMENTS OF CASH FLOWS</w:t>
      </w:r>
    </w:p>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(in thousands)</w:t>
      </w:r>
    </w:p>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(unaudited)</w:t>
      </w:r>
    </w:p>
    <w:tbl>
      <w:tblPr>
        <w:tblW w:w="10205" w:type="dxa"/>
        <w:jc w:val="center"/>
        <w:tblInd w:w="0" w:type="dxa"/>
        <w:tblLayout w:type="fixed"/>
        <w:tblCellMar>
          <w:top w:w="28" w:type="dxa"/>
          <w:left w:w="28" w:type="dxa"/>
          <w:bottom w:w="28" w:type="dxa"/>
          <w:right w:w="28" w:type="dxa"/>
        </w:tblCellMar>
      </w:tblPr>
      <w:tblGrid>
        <w:gridCol w:w="2727"/>
        <w:gridCol w:w="2319"/>
        <w:gridCol w:w="2325"/>
        <w:gridCol w:w="219"/>
        <w:gridCol w:w="842"/>
        <w:gridCol w:w="109"/>
        <w:gridCol w:w="109"/>
        <w:gridCol w:w="109"/>
        <w:gridCol w:w="109"/>
        <w:gridCol w:w="211"/>
        <w:gridCol w:w="751"/>
        <w:gridCol w:w="109"/>
        <w:gridCol w:w="109"/>
        <w:gridCol w:w="157"/>
      </w:tblGrid>
      <w:tr>
        <w:trPr/>
        <w:tc>
          <w:tcPr>
            <w:tcW w:w="2727"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income</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discontinued operations</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continuing operations</w:t>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income from continuing operations to net cash (used in) provided by operating activities:</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 expense</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deferred income taxes</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 net of effects from acquisitions:</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receivables and costs in excess of billings</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 and other assets</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non-current liabilities</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 of continuing operations</w:t>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provided by operating activities of discontinued operations</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cash (used in) provided by operating activities </w:t>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Acquisitions, net of cash acquired</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(1,339,657)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plant, and equipment, net</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proceeds from sale of business</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 of continuing operations</w:t>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(1,350,850)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(221,554)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investing activities of discontinued operations</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(1,275,906)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(222,528)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long-term debt</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payments</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 of debt issuance costs</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common stock at market prices</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financing activities</w:t>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1,212,761 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w:t>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cash and cash equivalents</w:t>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(100,577)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(226,189)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at beginning of year</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at end of period</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21"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20"/>
                        <w:jc w:val="right"/>
                        <w:rPr/>
                      </w:pPr>
                      <w:r>
                        <w:rPr/>
                      </w:r>
                    </w:p>
                  </w:txbxContent>
                </v:textbox>
                <w10:wrap type="none"/>
              </v:rect>
            </w:pict>
          </mc:Fallback>
        </mc:AlternateContent>
      </w:r>
    </w:p>
    <w:p>
      <w:pPr>
        <w:pStyle w:val="TextBody"/>
        <w:bidi w:val="0"/>
        <w:spacing w:before="0" w:after="0"/>
        <w:jc w:val="right"/>
        <w:rPr/>
      </w:pPr>
      <w:r>
        <w:rPr/>
        <w:drawing>
          <wp:inline distT="0" distB="0" distL="0" distR="0">
            <wp:extent cx="2371725" cy="304800"/>
            <wp:effectExtent l="0" t="0" r="0" b="0"/>
            <wp:docPr id="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 descr=""/>
                    <pic:cNvPicPr>
                      <a:picLocks noChangeAspect="1" noChangeArrowheads="1"/>
                    </pic:cNvPicPr>
                  </pic:nvPicPr>
                  <pic:blipFill>
                    <a:blip r:embed="rId11"/>
                    <a:stretch>
                      <a:fillRect/>
                    </a:stretch>
                  </pic:blipFill>
                  <pic:spPr bwMode="auto">
                    <a:xfrm>
                      <a:off x="0" y="0"/>
                      <a:ext cx="2371725" cy="304800"/>
                    </a:xfrm>
                    <a:prstGeom prst="rect">
                      <a:avLst/>
                    </a:prstGeom>
                  </pic:spPr>
                </pic:pic>
              </a:graphicData>
            </a:graphic>
          </wp:inline>
        </w:drawing>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GIBRALTAR INDUSTRIES,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Reconciliation of GAAP and Adjusted Financial Measures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 except per share data)</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584"/>
        <w:gridCol w:w="394"/>
        <w:gridCol w:w="397"/>
        <w:gridCol w:w="109"/>
        <w:gridCol w:w="109"/>
        <w:gridCol w:w="109"/>
        <w:gridCol w:w="219"/>
        <w:gridCol w:w="859"/>
        <w:gridCol w:w="281"/>
        <w:gridCol w:w="109"/>
        <w:gridCol w:w="109"/>
        <w:gridCol w:w="109"/>
        <w:gridCol w:w="236"/>
        <w:gridCol w:w="810"/>
        <w:gridCol w:w="304"/>
        <w:gridCol w:w="109"/>
        <w:gridCol w:w="109"/>
        <w:gridCol w:w="109"/>
        <w:gridCol w:w="263"/>
        <w:gridCol w:w="901"/>
        <w:gridCol w:w="338"/>
        <w:gridCol w:w="109"/>
        <w:gridCol w:w="109"/>
        <w:gridCol w:w="109"/>
        <w:gridCol w:w="316"/>
        <w:gridCol w:w="1144"/>
        <w:gridCol w:w="163"/>
        <w:gridCol w:w="109"/>
        <w:gridCol w:w="109"/>
        <w:gridCol w:w="109"/>
        <w:gridCol w:w="211"/>
        <w:gridCol w:w="826"/>
        <w:gridCol w:w="324"/>
      </w:tblGrid>
      <w:tr>
        <w:trPr/>
        <w:tc>
          <w:tcPr>
            <w:tcW w:w="58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 June 30, 2026</w:t>
            </w:r>
          </w:p>
        </w:tc>
      </w:tr>
      <w:tr>
        <w:trPr/>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Income before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Provision for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Net income 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Net income from continuing operations per share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 Reported in GAAP Statements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37,959 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10,626 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27,333 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Charges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2,268 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1,644 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Acquisition Related Costs (2)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3,902 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4,049 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Financial Measures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44,129 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11,103 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33,026 </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Agtech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Infrastructure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Consolidated</w:t>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Operating Margin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Charges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Acquisition Related Costs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Adjusted Operating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Income from Operations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60,503 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5,907 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5,847 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(12,438)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59,819 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Charges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1,979 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2,268 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Related Costs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1,102 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3,902 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Adjusted Income from Operations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63,584 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5,931 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5,847 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(9,373)</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65,989 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Net Sales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425,852 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58,832 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24,863 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509,547 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(1) Comprised primarily of exit activities costs </w:t>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 Represents acquisition related expenses including due diligence and integration costs of recent business combinations</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2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20"/>
                        <w:jc w:val="right"/>
                        <w:rPr/>
                      </w:pPr>
                      <w:r>
                        <w:rPr/>
                      </w:r>
                    </w:p>
                  </w:txbxContent>
                </v:textbox>
                <w10:wrap type="none"/>
              </v:rect>
            </w:pict>
          </mc:Fallback>
        </mc:AlternateContent>
      </w:r>
    </w:p>
    <w:p>
      <w:pPr>
        <w:pStyle w:val="TextBody"/>
        <w:bidi w:val="0"/>
        <w:spacing w:before="0" w:after="0"/>
        <w:jc w:val="right"/>
        <w:rPr/>
      </w:pPr>
      <w:r>
        <w:rPr/>
        <w:drawing>
          <wp:inline distT="0" distB="0" distL="0" distR="0">
            <wp:extent cx="2371725" cy="304800"/>
            <wp:effectExtent l="0" t="0" r="0" b="0"/>
            <wp:docPr id="2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1" descr=""/>
                    <pic:cNvPicPr>
                      <a:picLocks noChangeAspect="1" noChangeArrowheads="1"/>
                    </pic:cNvPicPr>
                  </pic:nvPicPr>
                  <pic:blipFill>
                    <a:blip r:embed="rId12"/>
                    <a:stretch>
                      <a:fillRect/>
                    </a:stretch>
                  </pic:blipFill>
                  <pic:spPr bwMode="auto">
                    <a:xfrm>
                      <a:off x="0" y="0"/>
                      <a:ext cx="2371725" cy="304800"/>
                    </a:xfrm>
                    <a:prstGeom prst="rect">
                      <a:avLst/>
                    </a:prstGeom>
                  </pic:spPr>
                </pic:pic>
              </a:graphicData>
            </a:graphic>
          </wp:inline>
        </w:drawing>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GIBRALTAR INDUSTRIES,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Reconciliation of GAAP and Adjusted Financial Measures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 except per share data)</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584"/>
        <w:gridCol w:w="394"/>
        <w:gridCol w:w="397"/>
        <w:gridCol w:w="109"/>
        <w:gridCol w:w="109"/>
        <w:gridCol w:w="109"/>
        <w:gridCol w:w="219"/>
        <w:gridCol w:w="859"/>
        <w:gridCol w:w="281"/>
        <w:gridCol w:w="109"/>
        <w:gridCol w:w="109"/>
        <w:gridCol w:w="109"/>
        <w:gridCol w:w="236"/>
        <w:gridCol w:w="810"/>
        <w:gridCol w:w="304"/>
        <w:gridCol w:w="109"/>
        <w:gridCol w:w="109"/>
        <w:gridCol w:w="109"/>
        <w:gridCol w:w="263"/>
        <w:gridCol w:w="901"/>
        <w:gridCol w:w="338"/>
        <w:gridCol w:w="109"/>
        <w:gridCol w:w="109"/>
        <w:gridCol w:w="109"/>
        <w:gridCol w:w="316"/>
        <w:gridCol w:w="1144"/>
        <w:gridCol w:w="163"/>
        <w:gridCol w:w="109"/>
        <w:gridCol w:w="109"/>
        <w:gridCol w:w="109"/>
        <w:gridCol w:w="211"/>
        <w:gridCol w:w="826"/>
        <w:gridCol w:w="324"/>
      </w:tblGrid>
      <w:tr>
        <w:trPr/>
        <w:tc>
          <w:tcPr>
            <w:tcW w:w="58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 June 30, 2025</w:t>
            </w:r>
          </w:p>
        </w:tc>
      </w:tr>
      <w:tr>
        <w:trPr/>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Income before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Provision for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Net income 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Net income from continuing operations per share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 Reported in GAAP Statements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39,257 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9,819 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29,438 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Charges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1,582 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1,245 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Related Costs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3,849 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893 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2,956 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Adjusted Financial Measures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44,688 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11,049 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33,639 </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Agtech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Infrastructure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Consolidated</w:t>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Operating Margin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Charges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Related Costs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Adjusted Operating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28.1 </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43,611 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7,083 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(10,694)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39,506 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Charges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1,218 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1,582 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Related Costs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3,170 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3,849 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Adjusted Income from Operations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44,961 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3,040 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7,083 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(10,147)</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44,937 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Net Sales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230,258 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54,092 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25,167 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309,517 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 Comprised primarily of exit activities costs for discontinued products</w:t>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 Represents acquisition related expenses including due diligence and integration costs of recent business combinations</w:t>
            </w:r>
          </w:p>
        </w:tc>
      </w:tr>
    </w:tbl>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2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20"/>
                        <w:jc w:val="right"/>
                        <w:rPr/>
                      </w:pPr>
                      <w:r>
                        <w:rPr/>
                      </w:r>
                    </w:p>
                  </w:txbxContent>
                </v:textbox>
                <w10:wrap type="none"/>
              </v:rect>
            </w:pict>
          </mc:Fallback>
        </mc:AlternateContent>
      </w:r>
    </w:p>
    <w:p>
      <w:pPr>
        <w:pStyle w:val="TextBody"/>
        <w:bidi w:val="0"/>
        <w:spacing w:before="0" w:after="0"/>
        <w:jc w:val="right"/>
        <w:rPr/>
      </w:pPr>
      <w:r>
        <w:rPr/>
        <w:drawing>
          <wp:inline distT="0" distB="0" distL="0" distR="0">
            <wp:extent cx="2371725" cy="304800"/>
            <wp:effectExtent l="0" t="0" r="0" b="0"/>
            <wp:docPr id="2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2" descr=""/>
                    <pic:cNvPicPr>
                      <a:picLocks noChangeAspect="1" noChangeArrowheads="1"/>
                    </pic:cNvPicPr>
                  </pic:nvPicPr>
                  <pic:blipFill>
                    <a:blip r:embed="rId13"/>
                    <a:stretch>
                      <a:fillRect/>
                    </a:stretch>
                  </pic:blipFill>
                  <pic:spPr bwMode="auto">
                    <a:xfrm>
                      <a:off x="0" y="0"/>
                      <a:ext cx="2371725" cy="304800"/>
                    </a:xfrm>
                    <a:prstGeom prst="rect">
                      <a:avLst/>
                    </a:prstGeom>
                  </pic:spPr>
                </pic:pic>
              </a:graphicData>
            </a:graphic>
          </wp:inline>
        </w:drawing>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GIBRALTAR INDUSTRIES,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Reconciliation of GAAP and Adjusted Financial Measures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 except per share data)</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579"/>
        <w:gridCol w:w="388"/>
        <w:gridCol w:w="391"/>
        <w:gridCol w:w="109"/>
        <w:gridCol w:w="109"/>
        <w:gridCol w:w="109"/>
        <w:gridCol w:w="218"/>
        <w:gridCol w:w="857"/>
        <w:gridCol w:w="281"/>
        <w:gridCol w:w="109"/>
        <w:gridCol w:w="109"/>
        <w:gridCol w:w="109"/>
        <w:gridCol w:w="230"/>
        <w:gridCol w:w="902"/>
        <w:gridCol w:w="296"/>
        <w:gridCol w:w="109"/>
        <w:gridCol w:w="109"/>
        <w:gridCol w:w="109"/>
        <w:gridCol w:w="260"/>
        <w:gridCol w:w="889"/>
        <w:gridCol w:w="334"/>
        <w:gridCol w:w="109"/>
        <w:gridCol w:w="109"/>
        <w:gridCol w:w="109"/>
        <w:gridCol w:w="309"/>
        <w:gridCol w:w="1118"/>
        <w:gridCol w:w="159"/>
        <w:gridCol w:w="109"/>
        <w:gridCol w:w="109"/>
        <w:gridCol w:w="109"/>
        <w:gridCol w:w="211"/>
        <w:gridCol w:w="826"/>
        <w:gridCol w:w="322"/>
      </w:tblGrid>
      <w:tr>
        <w:trPr/>
        <w:tc>
          <w:tcPr>
            <w:tcW w:w="57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Six Months Ended June 30, 2026</w:t>
            </w:r>
          </w:p>
        </w:tc>
      </w:tr>
      <w:tr>
        <w:trPr/>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Income before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Provision for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Net income 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Net income from continuing operations per share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 Reported in GAAP Statements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21,293 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6,012 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15,281 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Charges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4,578 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3,319 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Acquisition Related Costs (2)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36,543 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8,619 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27,924 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Financial Measures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62,414 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15,890 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46,524 </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Agtech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Infrastructure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Consolidated</w:t>
            </w:r>
          </w:p>
        </w:tc>
      </w:tr>
      <w:tr>
        <w:trPr/>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Operating Margin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Charges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Related Costs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Adjusted Operating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80,749 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9,234 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9,564 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(44,184)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55,363 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Charges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4,218 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4,578 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Related Costs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9,630 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36,647 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Adjusted Income from Operations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94,597 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9,462 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9,564 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(17,035)</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96,588 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Net Sales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707,287 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114,462 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44,085 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865,834 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(1) Comprised primarily of exit activities costs </w:t>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 Represents acquisition related expenses including due diligence and integration costs of recent business combinations</w:t>
            </w:r>
          </w:p>
        </w:tc>
      </w:tr>
    </w:tbl>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27"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20"/>
                        <w:jc w:val="right"/>
                        <w:rPr/>
                      </w:pPr>
                      <w:r>
                        <w:rPr/>
                      </w:r>
                    </w:p>
                  </w:txbxContent>
                </v:textbox>
                <w10:wrap type="none"/>
              </v:rect>
            </w:pict>
          </mc:Fallback>
        </mc:AlternateContent>
      </w:r>
    </w:p>
    <w:p>
      <w:pPr>
        <w:pStyle w:val="TextBody"/>
        <w:bidi w:val="0"/>
        <w:spacing w:before="0" w:after="0"/>
        <w:jc w:val="right"/>
        <w:rPr/>
      </w:pPr>
      <w:r>
        <w:rPr/>
        <w:drawing>
          <wp:inline distT="0" distB="0" distL="0" distR="0">
            <wp:extent cx="2371725" cy="304800"/>
            <wp:effectExtent l="0" t="0" r="0" b="0"/>
            <wp:docPr id="2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3" descr=""/>
                    <pic:cNvPicPr>
                      <a:picLocks noChangeAspect="1" noChangeArrowheads="1"/>
                    </pic:cNvPicPr>
                  </pic:nvPicPr>
                  <pic:blipFill>
                    <a:blip r:embed="rId14"/>
                    <a:stretch>
                      <a:fillRect/>
                    </a:stretch>
                  </pic:blipFill>
                  <pic:spPr bwMode="auto">
                    <a:xfrm>
                      <a:off x="0" y="0"/>
                      <a:ext cx="2371725" cy="304800"/>
                    </a:xfrm>
                    <a:prstGeom prst="rect">
                      <a:avLst/>
                    </a:prstGeom>
                  </pic:spPr>
                </pic:pic>
              </a:graphicData>
            </a:graphic>
          </wp:inline>
        </w:drawing>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GIBRALTAR INDUSTRIES,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Reconciliation of GAAP and Adjusted Financial Measures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 except per share data)</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582"/>
        <w:gridCol w:w="392"/>
        <w:gridCol w:w="395"/>
        <w:gridCol w:w="109"/>
        <w:gridCol w:w="109"/>
        <w:gridCol w:w="109"/>
        <w:gridCol w:w="219"/>
        <w:gridCol w:w="859"/>
        <w:gridCol w:w="281"/>
        <w:gridCol w:w="109"/>
        <w:gridCol w:w="109"/>
        <w:gridCol w:w="109"/>
        <w:gridCol w:w="237"/>
        <w:gridCol w:w="810"/>
        <w:gridCol w:w="304"/>
        <w:gridCol w:w="109"/>
        <w:gridCol w:w="109"/>
        <w:gridCol w:w="109"/>
        <w:gridCol w:w="263"/>
        <w:gridCol w:w="902"/>
        <w:gridCol w:w="339"/>
        <w:gridCol w:w="109"/>
        <w:gridCol w:w="109"/>
        <w:gridCol w:w="109"/>
        <w:gridCol w:w="317"/>
        <w:gridCol w:w="1147"/>
        <w:gridCol w:w="163"/>
        <w:gridCol w:w="109"/>
        <w:gridCol w:w="109"/>
        <w:gridCol w:w="109"/>
        <w:gridCol w:w="211"/>
        <w:gridCol w:w="826"/>
        <w:gridCol w:w="323"/>
      </w:tblGrid>
      <w:tr>
        <w:trPr/>
        <w:tc>
          <w:tcPr>
            <w:tcW w:w="58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Six Months Ended June 30, 2025</w:t>
            </w:r>
          </w:p>
        </w:tc>
      </w:tr>
      <w:tr>
        <w:trPr/>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Income before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Provision for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Net income 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Net income from continuing operations per share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 Reported in GAAP Statements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69,473 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16,920 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52,553 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Charges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2,818 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2,181 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Related Costs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8,104 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1,891 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6,213 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Financial Measures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80,395 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19,448 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60,947 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Agtech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Infrastructure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Consolidated</w:t>
            </w:r>
          </w:p>
        </w:tc>
      </w:tr>
      <w:tr>
        <w:trPr/>
        <w:tc>
          <w:tcPr>
            <w:tcW w:w="1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Charges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Related Costs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Adjusted Operating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Income from Operations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74,871 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2,891 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12,341 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(21,942)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68,161 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Charges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2,355 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2,818 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Related Costs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4,589 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8,115 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77,358 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7,912 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12,341 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(18,517)</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79,094 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Net Sales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410,252 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99,132 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46,490 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555,874 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 Comprised primarily of exit activities costs for discontinued products</w:t>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 Represents acquisition related expenses including due diligence and integration costs of recent business combinations</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29"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20"/>
                        <w:jc w:val="right"/>
                        <w:rPr/>
                      </w:pPr>
                      <w:r>
                        <w:rPr/>
                      </w:r>
                    </w:p>
                  </w:txbxContent>
                </v:textbox>
                <w10:wrap type="none"/>
              </v:rect>
            </w:pict>
          </mc:Fallback>
        </mc:AlternateContent>
      </w:r>
    </w:p>
    <w:p>
      <w:pPr>
        <w:pStyle w:val="TextBody"/>
        <w:bidi w:val="0"/>
        <w:spacing w:before="0" w:after="0"/>
        <w:jc w:val="right"/>
        <w:rPr/>
      </w:pPr>
      <w:r>
        <w:rPr/>
        <w:drawing>
          <wp:inline distT="0" distB="0" distL="0" distR="0">
            <wp:extent cx="2371725" cy="304800"/>
            <wp:effectExtent l="0" t="0" r="0" b="0"/>
            <wp:docPr id="3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4" descr=""/>
                    <pic:cNvPicPr>
                      <a:picLocks noChangeAspect="1" noChangeArrowheads="1"/>
                    </pic:cNvPicPr>
                  </pic:nvPicPr>
                  <pic:blipFill>
                    <a:blip r:embed="rId15"/>
                    <a:stretch>
                      <a:fillRect/>
                    </a:stretch>
                  </pic:blipFill>
                  <pic:spPr bwMode="auto">
                    <a:xfrm>
                      <a:off x="0" y="0"/>
                      <a:ext cx="2371725" cy="304800"/>
                    </a:xfrm>
                    <a:prstGeom prst="rect">
                      <a:avLst/>
                    </a:prstGeom>
                  </pic:spPr>
                </pic:pic>
              </a:graphicData>
            </a:graphic>
          </wp:inline>
        </w:drawing>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GIBRALTAR INDUSTRIES,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Reconciliation of GAAP and Adjusted Financial Measures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 except per share data)</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563"/>
        <w:gridCol w:w="370"/>
        <w:gridCol w:w="372"/>
        <w:gridCol w:w="109"/>
        <w:gridCol w:w="109"/>
        <w:gridCol w:w="109"/>
        <w:gridCol w:w="217"/>
        <w:gridCol w:w="851"/>
        <w:gridCol w:w="279"/>
        <w:gridCol w:w="109"/>
        <w:gridCol w:w="109"/>
        <w:gridCol w:w="109"/>
        <w:gridCol w:w="226"/>
        <w:gridCol w:w="888"/>
        <w:gridCol w:w="291"/>
        <w:gridCol w:w="109"/>
        <w:gridCol w:w="109"/>
        <w:gridCol w:w="109"/>
        <w:gridCol w:w="245"/>
        <w:gridCol w:w="960"/>
        <w:gridCol w:w="315"/>
        <w:gridCol w:w="109"/>
        <w:gridCol w:w="109"/>
        <w:gridCol w:w="109"/>
        <w:gridCol w:w="290"/>
        <w:gridCol w:w="1045"/>
        <w:gridCol w:w="150"/>
        <w:gridCol w:w="109"/>
        <w:gridCol w:w="109"/>
        <w:gridCol w:w="109"/>
        <w:gridCol w:w="211"/>
        <w:gridCol w:w="976"/>
        <w:gridCol w:w="321"/>
      </w:tblGrid>
      <w:tr>
        <w:trPr/>
        <w:tc>
          <w:tcPr>
            <w:tcW w:w="56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Year Ended December 31, 2025</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Income before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Provision for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Net income 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Net income from continuing operations per share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 Reported in GAAP Statements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126,576 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29,020 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97,556 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Charges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Related Costs (2)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17,544 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13,708 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Financial Measures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152,438 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34,844 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117,594 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Agtech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Infrastructure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Consolidated</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Charges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Related Costs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137,195 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22,042 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(46,290)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122,751 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Charges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8,318 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Related Costs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14,521 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19,770 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144,898 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15,637 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22,042 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(31,738)</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150,839 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824,079 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219,301 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92,121 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1,135,501 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 Comprised primarily of exit activities costs</w:t>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 Represents acquisition related expenses including due diligence and integration costs of recent business combinations</w:t>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 Includes one-time gain of $2.2M from an acquisition-related item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1"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20"/>
                        <w:jc w:val="right"/>
                        <w:rPr/>
                      </w:pPr>
                      <w:r>
                        <w:rPr/>
                      </w:r>
                    </w:p>
                  </w:txbxContent>
                </v:textbox>
                <w10:wrap type="none"/>
              </v:rect>
            </w:pict>
          </mc:Fallback>
        </mc:AlternateContent>
      </w:r>
    </w:p>
    <w:p>
      <w:pPr>
        <w:pStyle w:val="TextBody"/>
        <w:bidi w:val="0"/>
        <w:spacing w:before="0" w:after="0"/>
        <w:jc w:val="right"/>
        <w:rPr/>
      </w:pPr>
      <w:r>
        <w:rPr/>
        <w:drawing>
          <wp:inline distT="0" distB="0" distL="0" distR="0">
            <wp:extent cx="2371725" cy="304800"/>
            <wp:effectExtent l="0" t="0" r="0" b="0"/>
            <wp:docPr id="3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5" descr=""/>
                    <pic:cNvPicPr>
                      <a:picLocks noChangeAspect="1" noChangeArrowheads="1"/>
                    </pic:cNvPicPr>
                  </pic:nvPicPr>
                  <pic:blipFill>
                    <a:blip r:embed="rId16"/>
                    <a:stretch>
                      <a:fillRect/>
                    </a:stretch>
                  </pic:blipFill>
                  <pic:spPr bwMode="auto">
                    <a:xfrm>
                      <a:off x="0" y="0"/>
                      <a:ext cx="2371725" cy="304800"/>
                    </a:xfrm>
                    <a:prstGeom prst="rect">
                      <a:avLst/>
                    </a:prstGeom>
                  </pic:spPr>
                </pic:pic>
              </a:graphicData>
            </a:graphic>
          </wp:inline>
        </w:drawing>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GIBRALTAR INDUSTRIES,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Reconciliation of Adjusted Financial Measures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376"/>
        <w:gridCol w:w="1132"/>
        <w:gridCol w:w="1141"/>
        <w:gridCol w:w="109"/>
        <w:gridCol w:w="109"/>
        <w:gridCol w:w="109"/>
        <w:gridCol w:w="211"/>
        <w:gridCol w:w="856"/>
        <w:gridCol w:w="286"/>
        <w:gridCol w:w="109"/>
        <w:gridCol w:w="109"/>
        <w:gridCol w:w="109"/>
        <w:gridCol w:w="211"/>
        <w:gridCol w:w="856"/>
        <w:gridCol w:w="286"/>
        <w:gridCol w:w="109"/>
        <w:gridCol w:w="109"/>
        <w:gridCol w:w="109"/>
        <w:gridCol w:w="211"/>
        <w:gridCol w:w="751"/>
        <w:gridCol w:w="286"/>
        <w:gridCol w:w="109"/>
        <w:gridCol w:w="109"/>
        <w:gridCol w:w="109"/>
        <w:gridCol w:w="211"/>
        <w:gridCol w:w="751"/>
        <w:gridCol w:w="332"/>
      </w:tblGrid>
      <w:tr>
        <w:trPr/>
        <w:tc>
          <w:tcPr>
            <w:tcW w:w="137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June 30, 2026</w:t>
            </w:r>
          </w:p>
        </w:tc>
      </w:tr>
      <w:tr>
        <w:trPr/>
        <w:tc>
          <w:tcPr>
            <w:tcW w:w="3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Residential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Agtech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Infrastructure</w:t>
            </w:r>
          </w:p>
        </w:tc>
      </w:tr>
      <w:tr>
        <w:trPr/>
        <w:tc>
          <w:tcPr>
            <w:tcW w:w="3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3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3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509,547 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425,852 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58,832 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24,863 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27,333 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10,626 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20,965 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59,819 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60,503 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5,847 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Measures*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65,989 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63,584 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5,847 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&amp;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19,815 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16,456 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3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3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SLT Related 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87,991 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80,873 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8,134 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6,309 </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 -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44,548 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PPE,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39,352 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 - % of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Measures details are presented on the corresponding Reconciliation of GAAP and Adjusted Financial Measures</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3"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20"/>
                        <w:jc w:val="right"/>
                        <w:rPr/>
                      </w:pPr>
                      <w:r>
                        <w:rPr/>
                      </w:r>
                    </w:p>
                  </w:txbxContent>
                </v:textbox>
                <w10:wrap type="none"/>
              </v:rect>
            </w:pict>
          </mc:Fallback>
        </mc:AlternateContent>
      </w:r>
    </w:p>
    <w:p>
      <w:pPr>
        <w:pStyle w:val="TextBody"/>
        <w:bidi w:val="0"/>
        <w:spacing w:before="0" w:after="0"/>
        <w:jc w:val="right"/>
        <w:rPr/>
      </w:pPr>
      <w:r>
        <w:rPr/>
        <w:drawing>
          <wp:inline distT="0" distB="0" distL="0" distR="0">
            <wp:extent cx="2371725" cy="304800"/>
            <wp:effectExtent l="0" t="0" r="0" b="0"/>
            <wp:docPr id="3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6" descr=""/>
                    <pic:cNvPicPr>
                      <a:picLocks noChangeAspect="1" noChangeArrowheads="1"/>
                    </pic:cNvPicPr>
                  </pic:nvPicPr>
                  <pic:blipFill>
                    <a:blip r:embed="rId17"/>
                    <a:stretch>
                      <a:fillRect/>
                    </a:stretch>
                  </pic:blipFill>
                  <pic:spPr bwMode="auto">
                    <a:xfrm>
                      <a:off x="0" y="0"/>
                      <a:ext cx="2371725" cy="304800"/>
                    </a:xfrm>
                    <a:prstGeom prst="rect">
                      <a:avLst/>
                    </a:prstGeom>
                  </pic:spPr>
                </pic:pic>
              </a:graphicData>
            </a:graphic>
          </wp:inline>
        </w:drawing>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GIBRALTAR INDUSTRIES,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Reconciliation of Adjusted Financial Measures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before="0" w:after="0"/>
        <w:jc w:val="center"/>
        <w:rPr/>
      </w:pPr>
      <w:r>
        <w:rPr/>
      </w:r>
    </w:p>
    <w:tbl>
      <w:tblPr>
        <w:tblW w:w="10200" w:type="dxa"/>
        <w:jc w:val="center"/>
        <w:tblInd w:w="0" w:type="dxa"/>
        <w:tblLayout w:type="fixed"/>
        <w:tblCellMar>
          <w:top w:w="28" w:type="dxa"/>
          <w:left w:w="28" w:type="dxa"/>
          <w:bottom w:w="28" w:type="dxa"/>
          <w:right w:w="28" w:type="dxa"/>
        </w:tblCellMar>
      </w:tblPr>
      <w:tblGrid>
        <w:gridCol w:w="1317"/>
        <w:gridCol w:w="1159"/>
        <w:gridCol w:w="1169"/>
        <w:gridCol w:w="109"/>
        <w:gridCol w:w="109"/>
        <w:gridCol w:w="109"/>
        <w:gridCol w:w="211"/>
        <w:gridCol w:w="856"/>
        <w:gridCol w:w="286"/>
        <w:gridCol w:w="109"/>
        <w:gridCol w:w="109"/>
        <w:gridCol w:w="109"/>
        <w:gridCol w:w="211"/>
        <w:gridCol w:w="856"/>
        <w:gridCol w:w="286"/>
        <w:gridCol w:w="109"/>
        <w:gridCol w:w="109"/>
        <w:gridCol w:w="109"/>
        <w:gridCol w:w="211"/>
        <w:gridCol w:w="751"/>
        <w:gridCol w:w="286"/>
        <w:gridCol w:w="109"/>
        <w:gridCol w:w="109"/>
        <w:gridCol w:w="109"/>
        <w:gridCol w:w="211"/>
        <w:gridCol w:w="751"/>
        <w:gridCol w:w="331"/>
      </w:tblGrid>
      <w:tr>
        <w:trPr/>
        <w:tc>
          <w:tcPr>
            <w:tcW w:w="131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020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June 30, 2025</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Residential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Agtech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Infrastructure</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Sales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309,517 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230,258 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54,092 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25,167 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29,438 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9,819 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39,506 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43,611 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7,083 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Measures*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44,937 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44,961 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7,083 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&amp;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Acquisition-related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Adjusted Depreciation &amp; Amortization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6,644 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3,239 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1,889 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Adjusted Stock Compensation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Adjusted EBITDA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55,063 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48,821 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7,858 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Adjusted EBITDA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 -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43,545 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PPE,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(18,203)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25,342 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 - % of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0" w:type="dxa"/>
            <w:gridSpan w:val="27"/>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0"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Measures details are presented on the corresponding Reconciliation of GAAP and Adjusted Financial Measures</w:t>
            </w:r>
          </w:p>
        </w:tc>
      </w:tr>
    </w:tbl>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5"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20"/>
                        <w:jc w:val="right"/>
                        <w:rPr/>
                      </w:pPr>
                      <w:r>
                        <w:rPr/>
                      </w:r>
                    </w:p>
                  </w:txbxContent>
                </v:textbox>
                <w10:wrap type="none"/>
              </v:rect>
            </w:pict>
          </mc:Fallback>
        </mc:AlternateContent>
      </w:r>
    </w:p>
    <w:p>
      <w:pPr>
        <w:pStyle w:val="TextBody"/>
        <w:bidi w:val="0"/>
        <w:spacing w:before="0" w:after="0"/>
        <w:jc w:val="right"/>
        <w:rPr/>
      </w:pPr>
      <w:r>
        <w:rPr/>
        <w:drawing>
          <wp:inline distT="0" distB="0" distL="0" distR="0">
            <wp:extent cx="2371725" cy="304800"/>
            <wp:effectExtent l="0" t="0" r="0" b="0"/>
            <wp:docPr id="3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7" descr=""/>
                    <pic:cNvPicPr>
                      <a:picLocks noChangeAspect="1" noChangeArrowheads="1"/>
                    </pic:cNvPicPr>
                  </pic:nvPicPr>
                  <pic:blipFill>
                    <a:blip r:embed="rId18"/>
                    <a:stretch>
                      <a:fillRect/>
                    </a:stretch>
                  </pic:blipFill>
                  <pic:spPr bwMode="auto">
                    <a:xfrm>
                      <a:off x="0" y="0"/>
                      <a:ext cx="2371725" cy="304800"/>
                    </a:xfrm>
                    <a:prstGeom prst="rect">
                      <a:avLst/>
                    </a:prstGeom>
                  </pic:spPr>
                </pic:pic>
              </a:graphicData>
            </a:graphic>
          </wp:inline>
        </w:drawing>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GIBRALTAR INDUSTRIES,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Reconciliation of Adjusted Financial Measures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345"/>
        <w:gridCol w:w="1094"/>
        <w:gridCol w:w="1104"/>
        <w:gridCol w:w="109"/>
        <w:gridCol w:w="109"/>
        <w:gridCol w:w="109"/>
        <w:gridCol w:w="211"/>
        <w:gridCol w:w="856"/>
        <w:gridCol w:w="286"/>
        <w:gridCol w:w="109"/>
        <w:gridCol w:w="109"/>
        <w:gridCol w:w="109"/>
        <w:gridCol w:w="211"/>
        <w:gridCol w:w="856"/>
        <w:gridCol w:w="286"/>
        <w:gridCol w:w="109"/>
        <w:gridCol w:w="109"/>
        <w:gridCol w:w="109"/>
        <w:gridCol w:w="211"/>
        <w:gridCol w:w="856"/>
        <w:gridCol w:w="286"/>
        <w:gridCol w:w="109"/>
        <w:gridCol w:w="109"/>
        <w:gridCol w:w="109"/>
        <w:gridCol w:w="211"/>
        <w:gridCol w:w="751"/>
        <w:gridCol w:w="333"/>
      </w:tblGrid>
      <w:tr>
        <w:trPr/>
        <w:tc>
          <w:tcPr>
            <w:tcW w:w="1345"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 June 30, 2026</w:t>
            </w:r>
          </w:p>
        </w:tc>
      </w:tr>
      <w:tr>
        <w:trPr/>
        <w:tc>
          <w:tcPr>
            <w:tcW w:w="3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Residential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Agtech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Infrastructure</w:t>
            </w:r>
          </w:p>
        </w:tc>
      </w:tr>
      <w:tr>
        <w:trPr/>
        <w:tc>
          <w:tcPr>
            <w:tcW w:w="3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3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865,834 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707,287 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114,462 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44,085 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15,281 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33,989 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55,363 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80,749 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9,234 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9,564 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Measures*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41,225 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13,848 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96,588 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94,597 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9,462 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9,564 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&amp;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35,718 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28,585 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1,102 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3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SLT Related 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137,020 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124,662 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13,961 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10,794 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 -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9,995 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PPE,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(11,193)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(1,198)</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 - % of Adjusted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Measures details are presented on the corresponding Reconciliation of GAAP and Adjusted Financial Measures</w:t>
            </w:r>
          </w:p>
        </w:tc>
      </w:tr>
    </w:tbl>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7"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20"/>
                        <w:jc w:val="right"/>
                        <w:rPr/>
                      </w:pPr>
                      <w:r>
                        <w:rPr/>
                      </w:r>
                    </w:p>
                  </w:txbxContent>
                </v:textbox>
                <w10:wrap type="none"/>
              </v:rect>
            </w:pict>
          </mc:Fallback>
        </mc:AlternateContent>
      </w:r>
    </w:p>
    <w:p>
      <w:pPr>
        <w:pStyle w:val="TextBody"/>
        <w:bidi w:val="0"/>
        <w:spacing w:before="0" w:after="0"/>
        <w:jc w:val="right"/>
        <w:rPr/>
      </w:pPr>
      <w:r>
        <w:rPr/>
        <w:drawing>
          <wp:inline distT="0" distB="0" distL="0" distR="0">
            <wp:extent cx="2371725" cy="304800"/>
            <wp:effectExtent l="0" t="0" r="0" b="0"/>
            <wp:docPr id="3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8" descr=""/>
                    <pic:cNvPicPr>
                      <a:picLocks noChangeAspect="1" noChangeArrowheads="1"/>
                    </pic:cNvPicPr>
                  </pic:nvPicPr>
                  <pic:blipFill>
                    <a:blip r:embed="rId19"/>
                    <a:stretch>
                      <a:fillRect/>
                    </a:stretch>
                  </pic:blipFill>
                  <pic:spPr bwMode="auto">
                    <a:xfrm>
                      <a:off x="0" y="0"/>
                      <a:ext cx="2371725" cy="304800"/>
                    </a:xfrm>
                    <a:prstGeom prst="rect">
                      <a:avLst/>
                    </a:prstGeom>
                  </pic:spPr>
                </pic:pic>
              </a:graphicData>
            </a:graphic>
          </wp:inline>
        </w:drawing>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GIBRALTAR INDUSTRIES,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Reconciliation of Adjusted Financial Measures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376"/>
        <w:gridCol w:w="1132"/>
        <w:gridCol w:w="1141"/>
        <w:gridCol w:w="109"/>
        <w:gridCol w:w="109"/>
        <w:gridCol w:w="109"/>
        <w:gridCol w:w="211"/>
        <w:gridCol w:w="856"/>
        <w:gridCol w:w="286"/>
        <w:gridCol w:w="109"/>
        <w:gridCol w:w="109"/>
        <w:gridCol w:w="109"/>
        <w:gridCol w:w="211"/>
        <w:gridCol w:w="856"/>
        <w:gridCol w:w="286"/>
        <w:gridCol w:w="109"/>
        <w:gridCol w:w="109"/>
        <w:gridCol w:w="109"/>
        <w:gridCol w:w="211"/>
        <w:gridCol w:w="751"/>
        <w:gridCol w:w="286"/>
        <w:gridCol w:w="109"/>
        <w:gridCol w:w="109"/>
        <w:gridCol w:w="109"/>
        <w:gridCol w:w="211"/>
        <w:gridCol w:w="751"/>
        <w:gridCol w:w="332"/>
      </w:tblGrid>
      <w:tr>
        <w:trPr/>
        <w:tc>
          <w:tcPr>
            <w:tcW w:w="137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 June 30, 2025</w:t>
            </w:r>
          </w:p>
        </w:tc>
      </w:tr>
      <w:tr>
        <w:trPr/>
        <w:tc>
          <w:tcPr>
            <w:tcW w:w="3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Residential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Agtech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Infrastructure</w:t>
            </w:r>
          </w:p>
        </w:tc>
      </w:tr>
      <w:tr>
        <w:trPr/>
        <w:tc>
          <w:tcPr>
            <w:tcW w:w="3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Sales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555,874 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410,252 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99,132 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46,490 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52,553 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16,920 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68,161 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74,871 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12,341 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Measures*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10,933 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79,094 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77,358 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7,912 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12,341 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&amp;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5,766 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7,299 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Acquisition-related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Adjusted Depreciation &amp; Amortization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12,031 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5,766 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1,400 </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SLT Related 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3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Adjusted EBITDA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97,298 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84,197 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11,464 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13,880 </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Adjusted EBITDA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 -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48,630 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PPE,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(28,960)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19,670 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 - % of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Measures details are presented on the corresponding Reconciliation of GAAP and Adjusted Financial Measures</w:t>
            </w:r>
          </w:p>
        </w:tc>
      </w:tr>
    </w:tbl>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9"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20"/>
                        <w:jc w:val="right"/>
                        <w:rPr/>
                      </w:pPr>
                      <w:r>
                        <w:rPr/>
                      </w:r>
                    </w:p>
                  </w:txbxContent>
                </v:textbox>
                <w10:wrap type="none"/>
              </v:rect>
            </w:pict>
          </mc:Fallback>
        </mc:AlternateContent>
      </w:r>
    </w:p>
    <w:p>
      <w:pPr>
        <w:pStyle w:val="TextBody"/>
        <w:bidi w:val="0"/>
        <w:spacing w:before="0" w:after="0"/>
        <w:jc w:val="right"/>
        <w:rPr/>
      </w:pPr>
      <w:r>
        <w:rPr/>
        <w:drawing>
          <wp:inline distT="0" distB="0" distL="0" distR="0">
            <wp:extent cx="2371725" cy="304800"/>
            <wp:effectExtent l="0" t="0" r="0" b="0"/>
            <wp:docPr id="4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9" descr=""/>
                    <pic:cNvPicPr>
                      <a:picLocks noChangeAspect="1" noChangeArrowheads="1"/>
                    </pic:cNvPicPr>
                  </pic:nvPicPr>
                  <pic:blipFill>
                    <a:blip r:embed="rId20"/>
                    <a:stretch>
                      <a:fillRect/>
                    </a:stretch>
                  </pic:blipFill>
                  <pic:spPr bwMode="auto">
                    <a:xfrm>
                      <a:off x="0" y="0"/>
                      <a:ext cx="2371725" cy="304800"/>
                    </a:xfrm>
                    <a:prstGeom prst="rect">
                      <a:avLst/>
                    </a:prstGeom>
                  </pic:spPr>
                </pic:pic>
              </a:graphicData>
            </a:graphic>
          </wp:inline>
        </w:drawing>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GIBRALTAR INDUSTRIES,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Reconciliation of Adjusted Financial Measures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98"/>
        <w:gridCol w:w="1036"/>
        <w:gridCol w:w="1045"/>
        <w:gridCol w:w="109"/>
        <w:gridCol w:w="109"/>
        <w:gridCol w:w="109"/>
        <w:gridCol w:w="211"/>
        <w:gridCol w:w="1021"/>
        <w:gridCol w:w="286"/>
        <w:gridCol w:w="109"/>
        <w:gridCol w:w="109"/>
        <w:gridCol w:w="109"/>
        <w:gridCol w:w="211"/>
        <w:gridCol w:w="856"/>
        <w:gridCol w:w="286"/>
        <w:gridCol w:w="109"/>
        <w:gridCol w:w="109"/>
        <w:gridCol w:w="109"/>
        <w:gridCol w:w="211"/>
        <w:gridCol w:w="856"/>
        <w:gridCol w:w="286"/>
        <w:gridCol w:w="109"/>
        <w:gridCol w:w="109"/>
        <w:gridCol w:w="109"/>
        <w:gridCol w:w="211"/>
        <w:gridCol w:w="751"/>
        <w:gridCol w:w="332"/>
      </w:tblGrid>
      <w:tr>
        <w:trPr/>
        <w:tc>
          <w:tcPr>
            <w:tcW w:w="129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Year Ended December 31, 2025</w:t>
            </w:r>
          </w:p>
        </w:tc>
      </w:tr>
      <w:tr>
        <w:trPr/>
        <w:tc>
          <w:tcPr>
            <w:tcW w:w="3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Residential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Agtech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Infrastructure</w:t>
            </w:r>
          </w:p>
        </w:tc>
      </w:tr>
      <w:tr>
        <w:trPr/>
        <w:tc>
          <w:tcPr>
            <w:tcW w:w="3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1,135,501 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824,079 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219,301 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92,121 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97,556 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29,020 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122,751 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137,195 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9,804 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22,042 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Measures*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28,088 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7,703 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150,839 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144,898 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15,637 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22,042 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&amp;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29,849 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13,351 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10,368 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2,845 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Acquisition-related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Depreciation &amp;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26,349 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13,351 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2,845 </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SLT Related 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8,257 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185,297 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160,840 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23,234 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25,161 </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 -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137,107 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PPE,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(46,130)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90,977 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 - % of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Measures details are presented on the corresponding Reconciliation of GAAP and Adjusted Financial Measures</w:t>
            </w:r>
          </w:p>
        </w:tc>
      </w:tr>
    </w:tbl>
    <w:p>
      <w:pPr>
        <w:pStyle w:val="TextBody"/>
        <w:bidi w:val="0"/>
        <w:spacing w:before="0" w:after="0"/>
        <w:jc w:val="center"/>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righ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5447</Words>
  <Characters>30841</Characters>
  <CharactersWithSpaces>35332</CharactersWithSpaces>
  <Paragraphs>1865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